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4"/>
        </w:rPr>
      </w:pPr>
      <w:r>
        <w:rPr>
          <w:rFonts w:hAnsiTheme="minorEastAsia"/>
          <w:b/>
          <w:sz w:val="24"/>
        </w:rPr>
        <w:t>项目需求书</w:t>
      </w:r>
    </w:p>
    <w:p>
      <w:pPr>
        <w:spacing w:line="360" w:lineRule="auto"/>
        <w:rPr>
          <w:sz w:val="24"/>
        </w:rPr>
      </w:pPr>
      <w:r>
        <w:rPr>
          <w:rFonts w:hint="eastAsia" w:hAnsiTheme="minorEastAsia"/>
          <w:sz w:val="24"/>
        </w:rPr>
        <w:t>一、项目背景</w:t>
      </w:r>
    </w:p>
    <w:p>
      <w:pPr>
        <w:spacing w:line="360" w:lineRule="auto"/>
        <w:ind w:firstLine="448" w:firstLineChars="200"/>
        <w:rPr>
          <w:color w:val="FF0000"/>
          <w:sz w:val="24"/>
        </w:rPr>
      </w:pPr>
      <w:r>
        <w:rPr>
          <w:rFonts w:hint="eastAsia" w:ascii="宋体" w:hAnsi="宋体"/>
          <w:sz w:val="24"/>
        </w:rPr>
        <w:t>根据天津滨海高新区科技企业数字化转型公共服务管理平台（天津滨海高新区科创大脑）项目建设需求，计划采购2台AI算力服务器。</w:t>
      </w:r>
      <w:r>
        <w:rPr>
          <w:rFonts w:hint="eastAsia"/>
          <w:sz w:val="24"/>
        </w:rPr>
        <w:t>本项目属于工业行业。</w:t>
      </w:r>
    </w:p>
    <w:p>
      <w:pPr>
        <w:spacing w:line="360" w:lineRule="auto"/>
        <w:rPr>
          <w:rFonts w:hAnsiTheme="minorEastAsia"/>
          <w:sz w:val="24"/>
        </w:rPr>
      </w:pPr>
      <w:r>
        <w:rPr>
          <w:rFonts w:hint="eastAsia" w:hAnsiTheme="minorEastAsia"/>
          <w:sz w:val="24"/>
        </w:rPr>
        <w:t>二、采购清单</w:t>
      </w:r>
    </w:p>
    <w:p>
      <w:pPr>
        <w:spacing w:line="360" w:lineRule="auto"/>
        <w:rPr>
          <w:rFonts w:hAnsiTheme="minorEastAsia"/>
          <w:sz w:val="24"/>
        </w:rPr>
      </w:pPr>
    </w:p>
    <w:tbl>
      <w:tblPr>
        <w:tblStyle w:val="20"/>
        <w:tblW w:w="0" w:type="auto"/>
        <w:tblInd w:w="98" w:type="dxa"/>
        <w:tblLayout w:type="autofit"/>
        <w:tblCellMar>
          <w:top w:w="0" w:type="dxa"/>
          <w:left w:w="108" w:type="dxa"/>
          <w:bottom w:w="0" w:type="dxa"/>
          <w:right w:w="108" w:type="dxa"/>
        </w:tblCellMar>
      </w:tblPr>
      <w:tblGrid>
        <w:gridCol w:w="418"/>
        <w:gridCol w:w="458"/>
        <w:gridCol w:w="778"/>
        <w:gridCol w:w="1660"/>
        <w:gridCol w:w="3179"/>
        <w:gridCol w:w="1937"/>
      </w:tblGrid>
      <w:tr>
        <w:tblPrEx>
          <w:tblCellMar>
            <w:top w:w="0" w:type="dxa"/>
            <w:left w:w="108" w:type="dxa"/>
            <w:bottom w:w="0" w:type="dxa"/>
            <w:right w:w="108" w:type="dxa"/>
          </w:tblCellMar>
        </w:tblPrEx>
        <w:trPr>
          <w:trHeight w:val="91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序号</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 xml:space="preserve">  指标分类</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一级指标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二级指标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采购人技术要求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指标使用说明</w:t>
            </w:r>
          </w:p>
        </w:tc>
      </w:tr>
      <w:tr>
        <w:tblPrEx>
          <w:tblCellMar>
            <w:top w:w="0" w:type="dxa"/>
            <w:left w:w="108" w:type="dxa"/>
            <w:bottom w:w="0" w:type="dxa"/>
            <w:right w:w="108" w:type="dxa"/>
          </w:tblCellMar>
        </w:tblPrEx>
        <w:trPr>
          <w:trHeight w:val="156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 xml:space="preserve">1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 xml:space="preserve">  产品规格</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CPU规格</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★CPU信息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rPr>
              <w:t>配置物理CPU个数≥2，每颗CPU 配置≥32颗物理核心，主频≥2.2GHz，三级缓存≥64M，功耗≤190W，内存通道≥8，最大支持32根内存。</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78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 xml:space="preserve">2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 xml:space="preserve">  产品规格</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主板规格</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★主板支持的CPU和内存情况</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内存容量≥1024G，采用单颗64G DDR4 3200</w:t>
            </w:r>
            <w:r>
              <w:rPr>
                <w:rFonts w:hint="default" w:ascii="宋体" w:hAnsi="宋体"/>
                <w:szCs w:val="21"/>
                <w:lang w:val="en"/>
              </w:rPr>
              <w:t>MT/s</w:t>
            </w:r>
            <w:r>
              <w:rPr>
                <w:rFonts w:hint="eastAsia" w:ascii="宋体" w:hAnsi="宋体"/>
                <w:szCs w:val="21"/>
              </w:rPr>
              <w:t>内存</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73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 xml:space="preserve">3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 xml:space="preserve">  产品规格</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★主板内存槽数量</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可扩展至32个内存插槽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实配的内存插槽数越多，内存扩展能力越强</w:t>
            </w:r>
          </w:p>
        </w:tc>
      </w:tr>
      <w:tr>
        <w:tblPrEx>
          <w:tblCellMar>
            <w:top w:w="0" w:type="dxa"/>
            <w:left w:w="108" w:type="dxa"/>
            <w:bottom w:w="0" w:type="dxa"/>
            <w:right w:w="108" w:type="dxa"/>
          </w:tblCellMar>
        </w:tblPrEx>
        <w:trPr>
          <w:trHeight w:val="161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 xml:space="preserve">4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 xml:space="preserve">  产品规格</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★主板存储接口</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机型支持 SATA、M.2、U.2存储接口；</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配置的接口种类越多可支持存储设备类型越多</w:t>
            </w:r>
          </w:p>
        </w:tc>
      </w:tr>
      <w:tr>
        <w:tblPrEx>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 xml:space="preserve">5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 xml:space="preserve">  产品规格</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★PCIe插槽接口</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支持PCIe 4.0插槽接口</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采购人根据需要选择PCIe插槽接口。PCIe插槽协议版本越高越好</w:t>
            </w:r>
          </w:p>
        </w:tc>
      </w:tr>
      <w:tr>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 xml:space="preserve">6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 xml:space="preserve">  产品规格</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★主板PCIe插槽数量及规格</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rPr>
              <w:t>支持12*PCIe 4.0 x16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实配的PCIe插槽数越多，扩展能力越强，但PCIe插槽过多会影响产品轻薄化小型化</w:t>
            </w:r>
          </w:p>
        </w:tc>
      </w:tr>
      <w:tr>
        <w:tblPrEx>
          <w:tblCellMar>
            <w:top w:w="0" w:type="dxa"/>
            <w:left w:w="108" w:type="dxa"/>
            <w:bottom w:w="0" w:type="dxa"/>
            <w:right w:w="108" w:type="dxa"/>
          </w:tblCellMar>
        </w:tblPrEx>
        <w:trPr>
          <w:trHeight w:val="25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7</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产品规格</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内存规格</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★内存数量</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≥16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★内存规格</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配置DDR4内存，单内存模块容量≥64GB</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采购人根据需要选择产品支持内存规格。支持内存代次越高越好</w:t>
            </w:r>
          </w:p>
        </w:tc>
      </w:tr>
      <w:tr>
        <w:tblPrEx>
          <w:tblCellMar>
            <w:top w:w="0" w:type="dxa"/>
            <w:left w:w="108" w:type="dxa"/>
            <w:bottom w:w="0" w:type="dxa"/>
            <w:right w:w="108" w:type="dxa"/>
          </w:tblCellMar>
        </w:tblPrEx>
        <w:trPr>
          <w:trHeight w:val="121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9</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★内存通道</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支持多个内存接口通道，每个通道可支持 1DPC 或 2DPC，当支持2DPC时，印制电路板上应具备插槽的序号标识，具体通道数应在随机文件中明确</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服务器常见为3通道和4通道，通道数越多，产品配置多内存时越能发挥内存最高性能</w:t>
            </w:r>
          </w:p>
        </w:tc>
      </w:tr>
      <w:tr>
        <w:tblPrEx>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1</w:t>
            </w:r>
            <w:r>
              <w:rPr>
                <w:rFonts w:hint="default" w:ascii="宋体" w:hAnsi="宋体"/>
                <w:szCs w:val="21"/>
                <w:lang w:val="en"/>
              </w:rPr>
              <w:t>0</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产品规格</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存储规格</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硬盘类型</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支持SAS硬磁盘、SATA/NVMe/M.2固态盘</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16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eastAsia" w:ascii="宋体" w:hAnsi="宋体"/>
                <w:szCs w:val="21"/>
              </w:rPr>
              <w:t>1</w:t>
            </w:r>
            <w:r>
              <w:rPr>
                <w:rFonts w:hint="default" w:ascii="宋体" w:hAnsi="宋体"/>
                <w:szCs w:val="21"/>
                <w:lang w:val="en"/>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★硬磁盘实配容量</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支持SATA SSD、U.2 NVMe 、M.2 SSD固态硬盘，≥2块480G SATA SSD，≥1块1.92TB NVMe U.2；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硬盘容量越大数据存储能力越强</w:t>
            </w:r>
          </w:p>
        </w:tc>
      </w:tr>
      <w:tr>
        <w:tblPrEx>
          <w:tblCellMar>
            <w:top w:w="0" w:type="dxa"/>
            <w:left w:w="108" w:type="dxa"/>
            <w:bottom w:w="0" w:type="dxa"/>
            <w:right w:w="108" w:type="dxa"/>
          </w:tblCellMar>
        </w:tblPrEx>
        <w:trPr>
          <w:trHeight w:val="121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eastAsia" w:ascii="宋体" w:hAnsi="宋体"/>
                <w:szCs w:val="21"/>
              </w:rPr>
              <w:t>1</w:t>
            </w:r>
            <w:r>
              <w:rPr>
                <w:rFonts w:hint="default" w:ascii="宋体" w:hAnsi="宋体"/>
                <w:szCs w:val="21"/>
                <w:lang w:val="en"/>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硬盘接口类型</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提供SATA固态硬盘接口</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采购人根据需要明确硬盘接口类型</w:t>
            </w: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1</w:t>
            </w:r>
            <w:r>
              <w:rPr>
                <w:rFonts w:hint="default" w:ascii="宋体" w:hAnsi="宋体"/>
                <w:szCs w:val="21"/>
                <w:lang w:val="en"/>
              </w:rPr>
              <w:t>3</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产品规格</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RAID卡规格（若支持RAID卡）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RAID卡支持的SAS</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RAID卡支持的SAS接口数越多，存储扩展能力越高，存储空间组合划分越灵活</w:t>
            </w:r>
          </w:p>
        </w:tc>
      </w:tr>
      <w:tr>
        <w:tblPrEx>
          <w:tblCellMar>
            <w:top w:w="0" w:type="dxa"/>
            <w:left w:w="108" w:type="dxa"/>
            <w:bottom w:w="0" w:type="dxa"/>
            <w:right w:w="108" w:type="dxa"/>
          </w:tblCellMar>
        </w:tblPrEx>
        <w:trPr>
          <w:trHeight w:val="16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eastAsia" w:ascii="宋体" w:hAnsi="宋体"/>
                <w:szCs w:val="21"/>
              </w:rPr>
              <w:t>1</w:t>
            </w:r>
            <w:r>
              <w:rPr>
                <w:rFonts w:hint="default" w:ascii="宋体" w:hAnsi="宋体"/>
                <w:szCs w:val="21"/>
                <w:lang w:val="en"/>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产品规格</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SAS直通卡规格(若支持SAS直通卡)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SAS直通卡SAS接口数量</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采购人根据需要选择SAS直通卡数量和通道数量。SAS接口数越多，硬盘扩展能力越强</w:t>
            </w:r>
          </w:p>
        </w:tc>
      </w:tr>
      <w:tr>
        <w:tblPrEx>
          <w:tblCellMar>
            <w:top w:w="0" w:type="dxa"/>
            <w:left w:w="108" w:type="dxa"/>
            <w:bottom w:w="0" w:type="dxa"/>
            <w:right w:w="108" w:type="dxa"/>
          </w:tblCellMar>
        </w:tblPrEx>
        <w:trPr>
          <w:trHeight w:val="145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eastAsia" w:ascii="宋体" w:hAnsi="宋体"/>
                <w:szCs w:val="21"/>
              </w:rPr>
              <w:t>1</w:t>
            </w:r>
            <w:r>
              <w:rPr>
                <w:rFonts w:hint="default" w:ascii="宋体" w:hAnsi="宋体"/>
                <w:szCs w:val="21"/>
                <w:lang w:val="en"/>
              </w:rPr>
              <w:t>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产品规格</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HBA卡规格(若支持HBA直通卡)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HBA卡端口数量</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采购人根据需要选择FCHBA卡的端口数量</w:t>
            </w:r>
          </w:p>
        </w:tc>
      </w:tr>
      <w:tr>
        <w:tblPrEx>
          <w:tblCellMar>
            <w:top w:w="0" w:type="dxa"/>
            <w:left w:w="108" w:type="dxa"/>
            <w:bottom w:w="0" w:type="dxa"/>
            <w:right w:w="108" w:type="dxa"/>
          </w:tblCellMar>
        </w:tblPrEx>
        <w:trPr>
          <w:trHeight w:val="16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1</w:t>
            </w:r>
            <w:r>
              <w:rPr>
                <w:rFonts w:hint="default" w:ascii="宋体" w:hAnsi="宋体"/>
                <w:szCs w:val="21"/>
                <w:lang w:val="en"/>
              </w:rPr>
              <w:t>6</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产品规格</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网络规格</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★网口速率和数量</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配置网口数量≥4，网口速率≥1GE</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采购人根据需要选择配备的网口速率和数量。传输速率越高、端口数量越多服务器整机的网络通信能力越强</w:t>
            </w:r>
          </w:p>
        </w:tc>
      </w:tr>
      <w:tr>
        <w:tblPrEx>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eastAsia" w:ascii="宋体" w:hAnsi="宋体"/>
                <w:szCs w:val="21"/>
              </w:rPr>
              <w:t>1</w:t>
            </w:r>
            <w:r>
              <w:rPr>
                <w:rFonts w:hint="default" w:ascii="宋体" w:hAnsi="宋体"/>
                <w:szCs w:val="21"/>
                <w:lang w:val="en"/>
              </w:rPr>
              <w:t>7</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产品规格</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外部接口规格</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★显示接口</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显示接口支持1种VGA类型</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采购人根据需要选择显示接口</w:t>
            </w:r>
          </w:p>
        </w:tc>
      </w:tr>
      <w:tr>
        <w:tblPrEx>
          <w:tblCellMar>
            <w:top w:w="0" w:type="dxa"/>
            <w:left w:w="108" w:type="dxa"/>
            <w:bottom w:w="0" w:type="dxa"/>
            <w:right w:w="108" w:type="dxa"/>
          </w:tblCellMar>
        </w:tblPrEx>
        <w:trPr>
          <w:trHeight w:val="733"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18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★USB接口</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支持不少于4个USB3.0接口</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采购人根据需要选择USB接口数量。USB接口的数量越多外接设备能力越强，协议版本越高传输速率越高（USB3.0传输速度高于USB2.0）</w:t>
            </w:r>
          </w:p>
        </w:tc>
      </w:tr>
      <w:tr>
        <w:tblPrEx>
          <w:tblCellMar>
            <w:top w:w="0" w:type="dxa"/>
            <w:left w:w="108" w:type="dxa"/>
            <w:bottom w:w="0" w:type="dxa"/>
            <w:right w:w="108" w:type="dxa"/>
          </w:tblCellMar>
        </w:tblPrEx>
        <w:trPr>
          <w:trHeight w:val="121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19</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产品规格</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电源规格</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电源冗余模式</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4个热插拔电源模块，支持2+2冗余</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采购人根据需要选择电池冗余模式。配有电源冗余的服务器，可靠性较高</w:t>
            </w:r>
          </w:p>
        </w:tc>
      </w:tr>
      <w:tr>
        <w:tblPrEx>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eastAsia" w:ascii="宋体" w:hAnsi="宋体"/>
                <w:szCs w:val="21"/>
              </w:rPr>
              <w:t>2</w:t>
            </w:r>
            <w:r>
              <w:rPr>
                <w:rFonts w:hint="default" w:ascii="宋体" w:hAnsi="宋体"/>
                <w:szCs w:val="21"/>
                <w:lang w:val="en"/>
              </w:rPr>
              <w:t>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★电源模块数量</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采购人根据需要选择电源模块数量。一般配备冗余电源模块。</w:t>
            </w:r>
          </w:p>
        </w:tc>
      </w:tr>
      <w:tr>
        <w:tblPrEx>
          <w:tblCellMar>
            <w:top w:w="0" w:type="dxa"/>
            <w:left w:w="108" w:type="dxa"/>
            <w:bottom w:w="0" w:type="dxa"/>
            <w:right w:w="108" w:type="dxa"/>
          </w:tblCellMar>
        </w:tblPrEx>
        <w:trPr>
          <w:trHeight w:val="16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21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★电源功率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单电源功率≥2</w:t>
            </w:r>
            <w:r>
              <w:rPr>
                <w:rFonts w:hint="eastAsia" w:ascii="宋体" w:hAnsi="宋体"/>
                <w:szCs w:val="21"/>
                <w:lang w:val="en-US" w:eastAsia="zh-CN"/>
              </w:rPr>
              <w:t>7</w:t>
            </w:r>
            <w:r>
              <w:rPr>
                <w:rFonts w:hint="eastAsia" w:ascii="宋体" w:hAnsi="宋体"/>
                <w:szCs w:val="21"/>
              </w:rPr>
              <w:t>00W</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一般情况下，电源功率越大能够支持的服务器负载也越大，但电源能效和负载相同情况下电源功率越大损耗越大</w:t>
            </w:r>
          </w:p>
        </w:tc>
      </w:tr>
      <w:tr>
        <w:tblPrEx>
          <w:tblCellMar>
            <w:top w:w="0" w:type="dxa"/>
            <w:left w:w="108" w:type="dxa"/>
            <w:bottom w:w="0" w:type="dxa"/>
            <w:right w:w="108" w:type="dxa"/>
          </w:tblCellMar>
        </w:tblPrEx>
        <w:trPr>
          <w:trHeight w:val="73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22</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电源指示灯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服务器应具备电源指示灯，指示待机、工作异常等状态</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电源指示灯可以表现指示状态，可方便用户使用</w:t>
            </w:r>
          </w:p>
        </w:tc>
      </w:tr>
      <w:tr>
        <w:tblPrEx>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23</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产品规格</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整机规格</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★外观和结构</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a)服务器的零部件应紧固无松动，可插拔部件应可靠连接，开关、按钮和其它控制部件应灵活可靠，布局应方便使用；b)产品表面不应有明显的凹痕、划伤、裂缝、变形和污染等。表面涂层均匀，不应起泡、龟裂、脱落和磨损，金属零部件无锈蚀及其它机械损伤；c)产品表面说明功能的文字、符号和标志应清晰、端正且牢固；d)应在服务器的显著位置提供运行状态的指示功能，并在随机文件中明确具体含义；e)机架、机箱的尺寸应符合通用机柜的安装要求，插入总线插座的电路板接口外形尺寸应符合有关总线标准的规定，将机箱固定在机柜上，机箱底面最大下垂变形不得干涉相邻机体；f)高密度服务器应给出CPU个数与机柜高度；g)服务器尺寸具体要求在随机文件中明确</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24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★尺寸（高×宽×深）</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rPr>
              <w:t>设计应遵循标准化、系列化的要求；机箱的内部结构符合通用部件的安装需要</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25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服务器导轨</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可调节滑道适应机柜前后方孔条的距离范围为 543.5mm～848.5mm</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26</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CPU个数与机柜高度单位(U)比</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CPU为2个，可安装在满足 IEC 297 标准的通用机柜中：宽 19 英寸、深 1000mm 及以上</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145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27</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环境适应性</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气候环境适应性应符合GB/T 9813.3的有关规定，工作温度10～35℃，贮存运输温度-40～55℃；工作相对湿度35%～80%，贮存运输相对湿度20％～93%（40℃）；大气压86～106kPa；</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28</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机械环境适应性</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机械环境适应性应符合GB/T 9813.3的有关规定</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29</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产品规格</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噪声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噪声符合GB/T 9813.3的有关规定，在产品说明中给出具体测试值</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241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30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产品规格</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AI计算单元规格</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★AI计算单元</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rPr>
            </w:pPr>
            <w:r>
              <w:rPr>
                <w:rFonts w:hint="eastAsia"/>
              </w:rPr>
              <w:t>不少于8块AI推理加速卡，单块FP16算力≥96TFLOPS，显存≥32G HBM2e，显存带宽≥800GB/秒，可兼容CUDA、opencL</w:t>
            </w:r>
          </w:p>
          <w:p>
            <w:pPr>
              <w:widowControl/>
              <w:jc w:val="left"/>
              <w:textAlignment w:val="center"/>
              <w:rPr>
                <w:rFonts w:ascii="宋体" w:hAnsi="宋体"/>
                <w:szCs w:val="21"/>
              </w:rPr>
            </w:pPr>
            <w:r>
              <w:rPr>
                <w:rFonts w:hint="eastAsia"/>
              </w:rPr>
              <w:t>，最大功耗≤150W</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若有特殊需求采购人根据实要需求选择AI计算单元。配备AI计算单元的产品，可大幅提升在特定场景下，典型功能的计算性能，如人脸识别、图片识别、数据挖掘等</w:t>
            </w:r>
          </w:p>
        </w:tc>
      </w:tr>
      <w:tr>
        <w:tblPrEx>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31</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功能要求</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主板功能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★主板外部接口种类</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 USB、显示、管理等接口</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若有特殊需要，采购人根据需要选择其他接口。实配的接口类型越多，可兼容外部设备种类越多</w:t>
            </w:r>
          </w:p>
        </w:tc>
      </w:tr>
      <w:tr>
        <w:tblPrEx>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32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主板防烧板设计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支持主板防烧板设计，保证电源故障后不扩散</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具备防烧板设计，可以提升服务器电气安全，避免发生火灾</w:t>
            </w:r>
          </w:p>
        </w:tc>
      </w:tr>
      <w:tr>
        <w:tblPrEx>
          <w:tblCellMar>
            <w:top w:w="0" w:type="dxa"/>
            <w:left w:w="108" w:type="dxa"/>
            <w:bottom w:w="0" w:type="dxa"/>
            <w:right w:w="108" w:type="dxa"/>
          </w:tblCellMar>
        </w:tblPrEx>
        <w:trPr>
          <w:trHeight w:val="73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33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扩展功能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实现至少一种扩展功能，如存储功能卡、显示功能卡、运算加速功能卡及网络功能卡等扩展功能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可扩展能力越强越有利于采购人后期升级产品</w:t>
            </w:r>
          </w:p>
        </w:tc>
      </w:tr>
      <w:tr>
        <w:tblPrEx>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34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功能要求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网络功能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★网络功能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支持网络连接、网络访问、数据交换和网络管控功能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145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35</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功能要求</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CPU功能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★计算处理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支持通用计算及虚拟化功能。处理器需集成整型计算单元、浮点计算单元、内存控制器、I/O 模块等，处理器与存储部件、网络部件、I/O部件等组成计算系统，提供数据处理、网络接入等计算相关功能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36</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★密码算法实现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CPU芯片应符合GM/T 0008的相关规定，或芯片密码模块应符合GB/T 37092或GM/T 0028的相关规定</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通过商用密码检测机构检测并经商用密码认证机构认证合格</w:t>
            </w:r>
          </w:p>
        </w:tc>
      </w:tr>
      <w:tr>
        <w:tblPrEx>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37</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功能要求</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存储功能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内存校验</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支持内存校验或内存增强型纠错功能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支持该功能可提升数据准确性和完整性，但也会损耗一定性能</w:t>
            </w:r>
          </w:p>
        </w:tc>
      </w:tr>
      <w:tr>
        <w:tblPrEx>
          <w:tblCellMar>
            <w:top w:w="0" w:type="dxa"/>
            <w:left w:w="108" w:type="dxa"/>
            <w:bottom w:w="0" w:type="dxa"/>
            <w:right w:w="108" w:type="dxa"/>
          </w:tblCellMar>
        </w:tblPrEx>
        <w:trPr>
          <w:trHeight w:val="73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38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szCs w:val="21"/>
              </w:rPr>
            </w:pPr>
            <w:r>
              <w:rPr>
                <w:rFonts w:hint="eastAsia" w:ascii="宋体" w:hAnsi="宋体"/>
                <w:szCs w:val="21"/>
              </w:rPr>
              <w:t>SATASSDNAND健康状态上报</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支持关键外部存储器（硬磁盘、SSD等）的健康状态上报并进行故障诊断</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支持该功能有助于提升产品运维能力</w:t>
            </w:r>
          </w:p>
        </w:tc>
      </w:tr>
      <w:tr>
        <w:tblPrEx>
          <w:tblCellMar>
            <w:top w:w="0" w:type="dxa"/>
            <w:left w:w="108" w:type="dxa"/>
            <w:bottom w:w="0" w:type="dxa"/>
            <w:right w:w="108" w:type="dxa"/>
          </w:tblCellMar>
        </w:tblPrEx>
        <w:trPr>
          <w:trHeight w:val="73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39</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szCs w:val="21"/>
              </w:rPr>
            </w:pPr>
            <w:r>
              <w:rPr>
                <w:rFonts w:hint="eastAsia" w:ascii="宋体" w:hAnsi="宋体"/>
                <w:szCs w:val="21"/>
              </w:rPr>
              <w:t>SATASSD单die故障隔离</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支持SSD关键外部存储器中单存储晶元故障隔离</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支持该功能可降低业务异常中断风险</w:t>
            </w:r>
          </w:p>
        </w:tc>
      </w:tr>
      <w:tr>
        <w:tblPrEx>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40</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功能要求</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RAID卡功能（若支持RAID卡）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RAID卡RAID级别支持</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RAID模式支持RAID0/1/10/5，存储型支持RAID0/1/5/6/10/50/60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RAID卡支持的RAID级别越多，表明存储分配功能越丰富；RAID0/1等级是基本的RAID功能，RAID5/6对RAID卡主控芯片的计算性能有很高要求。一般低端RAID卡仅支持RAID0/1及其复合RAID；高端RAID卡支持RAID5/6及其复合RAID</w:t>
            </w:r>
          </w:p>
        </w:tc>
      </w:tr>
      <w:tr>
        <w:tblPrEx>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41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RAID卡BBU单元</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RAID卡支持电池或电容备份单元</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支持BBU单元可提升系统可靠性</w:t>
            </w:r>
          </w:p>
        </w:tc>
      </w:tr>
      <w:tr>
        <w:tblPrEx>
          <w:tblCellMar>
            <w:top w:w="0" w:type="dxa"/>
            <w:left w:w="108" w:type="dxa"/>
            <w:bottom w:w="0" w:type="dxa"/>
            <w:right w:w="108" w:type="dxa"/>
          </w:tblCellMar>
        </w:tblPrEx>
        <w:trPr>
          <w:trHeight w:val="733"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42</w:t>
            </w:r>
          </w:p>
        </w:tc>
        <w:tc>
          <w:tcPr>
            <w:tcW w:w="0" w:type="auto"/>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szCs w:val="21"/>
              </w:rPr>
            </w:pPr>
            <w:r>
              <w:rPr>
                <w:rFonts w:hint="eastAsia" w:ascii="宋体" w:hAnsi="宋体"/>
                <w:szCs w:val="21"/>
              </w:rPr>
              <w:t>功能要求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光驱功能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光驱类型（是否支持RW，以及光盘类型CD/DVD）</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若配备光驱，应提供光驱的安装形式（如内置、外置）、光驱读写类型（如只读、可刻录等）、光盘类型的兼容列表（如CD-ROM、CD-RW、DVD±RW等）</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配备光驱便于直接读取光盘</w:t>
            </w:r>
          </w:p>
        </w:tc>
      </w:tr>
      <w:tr>
        <w:tblPrEx>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43</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szCs w:val="21"/>
              </w:rPr>
            </w:pPr>
            <w:r>
              <w:rPr>
                <w:rFonts w:hint="eastAsia" w:ascii="宋体" w:hAnsi="宋体"/>
                <w:szCs w:val="21"/>
              </w:rPr>
              <w:t>功能要求</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电源功能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★电源热插拔</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整机电源模块应具备热插拔功能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支持此功能可提高运维管理效率</w:t>
            </w:r>
          </w:p>
        </w:tc>
      </w:tr>
      <w:tr>
        <w:tblPrEx>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44</w:t>
            </w:r>
          </w:p>
        </w:tc>
        <w:tc>
          <w:tcPr>
            <w:tcW w:w="0" w:type="auto"/>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szCs w:val="21"/>
              </w:rPr>
            </w:pPr>
            <w:r>
              <w:rPr>
                <w:rFonts w:hint="eastAsia" w:ascii="宋体" w:hAnsi="宋体"/>
                <w:szCs w:val="21"/>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★电源过流保护</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服务器具备过流及短路保护的功能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支持此功能可提升产品安全性</w:t>
            </w:r>
          </w:p>
        </w:tc>
      </w:tr>
      <w:tr>
        <w:tblPrEx>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45</w:t>
            </w:r>
          </w:p>
        </w:tc>
        <w:tc>
          <w:tcPr>
            <w:tcW w:w="0" w:type="auto"/>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szCs w:val="21"/>
              </w:rPr>
            </w:pPr>
            <w:r>
              <w:rPr>
                <w:rFonts w:hint="eastAsia" w:ascii="宋体" w:hAnsi="宋体"/>
                <w:szCs w:val="21"/>
              </w:rPr>
              <w:t>功能要求</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整机功能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★散热方式</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服务器采用风冷散热</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73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46</w:t>
            </w:r>
          </w:p>
        </w:tc>
        <w:tc>
          <w:tcPr>
            <w:tcW w:w="0" w:type="auto"/>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szCs w:val="21"/>
              </w:rPr>
            </w:pPr>
            <w:r>
              <w:rPr>
                <w:rFonts w:hint="eastAsia" w:ascii="宋体" w:hAnsi="宋体"/>
                <w:szCs w:val="21"/>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其他功能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a)支持关键部件冗余（包括电源、风扇等）；b)支持熔断保护与恢复功能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5045" w:hRule="atLeast"/>
        </w:trPr>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47</w:t>
            </w:r>
            <w:r>
              <w:rPr>
                <w:rFonts w:hint="eastAsia" w:ascii="宋体" w:hAnsi="宋体"/>
                <w:szCs w:val="21"/>
              </w:rPr>
              <w:t xml:space="preserve"> </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功能要求</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管理系统功能</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★BMC固件基础功能</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1) 支持 DHCP 设置网络功能；</w:t>
            </w:r>
            <w:r>
              <w:rPr>
                <w:rFonts w:hint="eastAsia" w:ascii="宋体" w:hAnsi="宋体"/>
                <w:szCs w:val="21"/>
              </w:rPr>
              <w:br w:type="textWrapping"/>
            </w:r>
            <w:r>
              <w:rPr>
                <w:rFonts w:hint="eastAsia" w:ascii="宋体" w:hAnsi="宋体"/>
                <w:szCs w:val="21"/>
              </w:rPr>
              <w:t>2)支持静态 IP 设置网络功能；</w:t>
            </w:r>
            <w:r>
              <w:rPr>
                <w:rFonts w:hint="eastAsia" w:ascii="宋体" w:hAnsi="宋体"/>
                <w:szCs w:val="21"/>
              </w:rPr>
              <w:br w:type="textWrapping"/>
            </w:r>
            <w:r>
              <w:rPr>
                <w:rFonts w:hint="eastAsia" w:ascii="宋体" w:hAnsi="宋体"/>
                <w:szCs w:val="21"/>
              </w:rPr>
              <w:t>3)支持设备日志记录，包括但不限于登录日志、操作日志和报警日志等功能；</w:t>
            </w:r>
            <w:r>
              <w:rPr>
                <w:rFonts w:hint="eastAsia" w:ascii="宋体" w:hAnsi="宋体"/>
                <w:szCs w:val="21"/>
              </w:rPr>
              <w:br w:type="textWrapping"/>
            </w:r>
            <w:r>
              <w:rPr>
                <w:rFonts w:hint="eastAsia" w:ascii="宋体" w:hAnsi="宋体"/>
                <w:szCs w:val="21"/>
              </w:rPr>
              <w:t>4)支持日志信息导出和记录删除功能；</w:t>
            </w:r>
            <w:r>
              <w:rPr>
                <w:rFonts w:hint="eastAsia" w:ascii="宋体" w:hAnsi="宋体"/>
                <w:szCs w:val="21"/>
              </w:rPr>
              <w:br w:type="textWrapping"/>
            </w:r>
            <w:r>
              <w:rPr>
                <w:rFonts w:hint="eastAsia" w:ascii="宋体" w:hAnsi="宋体"/>
                <w:szCs w:val="21"/>
              </w:rPr>
              <w:t>5)支持通过管理接口向外输出准确的报警信息功能；</w:t>
            </w:r>
            <w:r>
              <w:rPr>
                <w:rFonts w:hint="eastAsia" w:ascii="宋体" w:hAnsi="宋体"/>
                <w:szCs w:val="21"/>
              </w:rPr>
              <w:br w:type="textWrapping"/>
            </w:r>
            <w:r>
              <w:rPr>
                <w:rFonts w:hint="eastAsia" w:ascii="宋体" w:hAnsi="宋体"/>
                <w:szCs w:val="21"/>
              </w:rPr>
              <w:t>6)设备的 BMC 管理软件应能够按报警的严重程度进行区分；</w:t>
            </w:r>
            <w:r>
              <w:rPr>
                <w:rFonts w:hint="eastAsia" w:ascii="宋体" w:hAnsi="宋体"/>
                <w:szCs w:val="21"/>
              </w:rPr>
              <w:br w:type="textWrapping"/>
            </w:r>
            <w:r>
              <w:rPr>
                <w:rFonts w:hint="eastAsia" w:ascii="宋体" w:hAnsi="宋体"/>
                <w:szCs w:val="21"/>
              </w:rPr>
              <w:t>7)支持 IPMI2.0、SNMP 或 Redfish等接口功能；</w:t>
            </w:r>
            <w:r>
              <w:rPr>
                <w:rFonts w:hint="eastAsia" w:ascii="宋体" w:hAnsi="宋体"/>
                <w:szCs w:val="21"/>
              </w:rPr>
              <w:br w:type="textWrapping"/>
            </w:r>
            <w:r>
              <w:rPr>
                <w:rFonts w:hint="eastAsia" w:ascii="宋体" w:hAnsi="宋体"/>
                <w:szCs w:val="21"/>
              </w:rPr>
              <w:t>8)支持键盘、鼠标和视频的重定向、文本控制台的重定向、远程虚拟媒体、高可靠的硬件监控和管理功能；</w:t>
            </w:r>
            <w:r>
              <w:rPr>
                <w:rFonts w:hint="eastAsia" w:ascii="宋体" w:hAnsi="宋体"/>
                <w:szCs w:val="21"/>
              </w:rPr>
              <w:br w:type="textWrapping"/>
            </w:r>
            <w:r>
              <w:rPr>
                <w:rFonts w:hint="eastAsia" w:ascii="宋体" w:hAnsi="宋体"/>
                <w:szCs w:val="21"/>
              </w:rPr>
              <w:t>9)支持基于网络开启、关闭和重启设备的功能，并查询当前设备开机运行状态；</w:t>
            </w:r>
            <w:r>
              <w:rPr>
                <w:rFonts w:hint="eastAsia" w:ascii="宋体" w:hAnsi="宋体"/>
                <w:szCs w:val="21"/>
              </w:rPr>
              <w:br w:type="textWrapping"/>
            </w:r>
            <w:r>
              <w:rPr>
                <w:rFonts w:hint="eastAsia" w:ascii="宋体" w:hAnsi="宋体"/>
                <w:szCs w:val="21"/>
              </w:rPr>
              <w:t>10)支持故障提示功能，并可通过接口读取服务器故障信息；</w:t>
            </w:r>
            <w:r>
              <w:rPr>
                <w:rFonts w:hint="eastAsia" w:ascii="宋体" w:hAnsi="宋体"/>
                <w:szCs w:val="21"/>
              </w:rPr>
              <w:br w:type="textWrapping"/>
            </w:r>
            <w:r>
              <w:rPr>
                <w:rFonts w:hint="eastAsia" w:ascii="宋体" w:hAnsi="宋体"/>
                <w:szCs w:val="21"/>
              </w:rPr>
              <w:t>11)支持基于网络的固件更新功能，包括 BMC 和 BIOS 等；</w:t>
            </w:r>
            <w:r>
              <w:rPr>
                <w:rFonts w:hint="eastAsia" w:ascii="宋体" w:hAnsi="宋体"/>
                <w:szCs w:val="21"/>
              </w:rPr>
              <w:br w:type="textWrapping"/>
            </w:r>
            <w:r>
              <w:rPr>
                <w:rFonts w:hint="eastAsia" w:ascii="宋体" w:hAnsi="宋体"/>
                <w:szCs w:val="21"/>
              </w:rPr>
              <w:t>12)支持基于网络安装操作系统的功能，并可通过网络控制台访问设备；</w:t>
            </w:r>
            <w:r>
              <w:rPr>
                <w:rFonts w:hint="eastAsia" w:ascii="宋体" w:hAnsi="宋体"/>
                <w:szCs w:val="21"/>
              </w:rPr>
              <w:br w:type="textWrapping"/>
            </w:r>
            <w:r>
              <w:rPr>
                <w:rFonts w:hint="eastAsia" w:ascii="宋体" w:hAnsi="宋体"/>
                <w:szCs w:val="21"/>
              </w:rPr>
              <w:t>13)支持通过本地的硬盘或光驱等存储设备，基于网络完成设备的操作系统安装功能；</w:t>
            </w:r>
            <w:r>
              <w:rPr>
                <w:rFonts w:hint="eastAsia" w:ascii="宋体" w:hAnsi="宋体"/>
                <w:szCs w:val="21"/>
              </w:rPr>
              <w:br w:type="textWrapping"/>
            </w:r>
            <w:r>
              <w:rPr>
                <w:rFonts w:hint="eastAsia" w:ascii="宋体" w:hAnsi="宋体"/>
                <w:szCs w:val="21"/>
              </w:rPr>
              <w:t>14)支持通过浏览器打开管理界面并登录功能；</w:t>
            </w:r>
            <w:r>
              <w:rPr>
                <w:rFonts w:hint="eastAsia" w:ascii="宋体" w:hAnsi="宋体"/>
                <w:szCs w:val="21"/>
              </w:rPr>
              <w:br w:type="textWrapping"/>
            </w:r>
            <w:r>
              <w:rPr>
                <w:rFonts w:hint="eastAsia" w:ascii="宋体" w:hAnsi="宋体"/>
                <w:szCs w:val="21"/>
              </w:rPr>
              <w:t>15)支持设置口令策略功能；</w:t>
            </w:r>
            <w:r>
              <w:rPr>
                <w:rFonts w:hint="eastAsia" w:ascii="宋体" w:hAnsi="宋体"/>
                <w:szCs w:val="21"/>
              </w:rPr>
              <w:br w:type="textWrapping"/>
            </w:r>
            <w:r>
              <w:rPr>
                <w:rFonts w:hint="eastAsia" w:ascii="宋体" w:hAnsi="宋体"/>
                <w:szCs w:val="21"/>
              </w:rPr>
              <w:t>16)支持访问权限设置功能，并通过日志记录访问事件；</w:t>
            </w:r>
            <w:r>
              <w:rPr>
                <w:rFonts w:hint="eastAsia" w:ascii="宋体" w:hAnsi="宋体"/>
                <w:szCs w:val="21"/>
              </w:rPr>
              <w:br w:type="textWrapping"/>
            </w:r>
            <w:r>
              <w:rPr>
                <w:rFonts w:hint="eastAsia" w:ascii="宋体" w:hAnsi="宋体"/>
                <w:szCs w:val="21"/>
              </w:rPr>
              <w:t>17)支持对出厂默认的用户名及口令进行安全保护功能，并提供默认口令修改提示；</w:t>
            </w:r>
            <w:r>
              <w:rPr>
                <w:rFonts w:hint="eastAsia" w:ascii="宋体" w:hAnsi="宋体"/>
                <w:szCs w:val="21"/>
              </w:rPr>
              <w:br w:type="textWrapping"/>
            </w:r>
            <w:r>
              <w:rPr>
                <w:rFonts w:hint="eastAsia" w:ascii="宋体" w:hAnsi="宋体"/>
                <w:szCs w:val="21"/>
              </w:rPr>
              <w:t>18)支持读取设备主板的工作环境温度功能；</w:t>
            </w:r>
            <w:r>
              <w:rPr>
                <w:rFonts w:hint="eastAsia" w:ascii="宋体" w:hAnsi="宋体"/>
                <w:szCs w:val="21"/>
              </w:rPr>
              <w:br w:type="textWrapping"/>
            </w:r>
            <w:r>
              <w:rPr>
                <w:rFonts w:hint="eastAsia" w:ascii="宋体" w:hAnsi="宋体"/>
                <w:szCs w:val="21"/>
              </w:rPr>
              <w:t>19)支持读取服务器 CPU 等核心器件的温度功能；</w:t>
            </w:r>
            <w:r>
              <w:rPr>
                <w:rFonts w:hint="eastAsia" w:ascii="宋体" w:hAnsi="宋体"/>
                <w:szCs w:val="21"/>
              </w:rPr>
              <w:br w:type="textWrapping"/>
            </w:r>
            <w:r>
              <w:rPr>
                <w:rFonts w:hint="eastAsia" w:ascii="宋体" w:hAnsi="宋体"/>
                <w:szCs w:val="21"/>
              </w:rPr>
              <w:t>20)支持通过外部管理工具进行 BMC参数设置的功能，并可基于网络通过外部管理工具对 BMC 进行管理；</w:t>
            </w:r>
            <w:r>
              <w:rPr>
                <w:rFonts w:hint="eastAsia" w:ascii="宋体" w:hAnsi="宋体"/>
                <w:szCs w:val="21"/>
              </w:rPr>
              <w:br w:type="textWrapping"/>
            </w:r>
            <w:r>
              <w:rPr>
                <w:rFonts w:hint="eastAsia" w:ascii="宋体" w:hAnsi="宋体"/>
                <w:szCs w:val="21"/>
              </w:rPr>
              <w:t>21)应支持固件版本查询、固件升级</w:t>
            </w:r>
            <w:r>
              <w:rPr>
                <w:rFonts w:hint="eastAsia" w:ascii="宋体" w:hAnsi="宋体"/>
                <w:szCs w:val="21"/>
              </w:rPr>
              <w:br w:type="textWrapping"/>
            </w:r>
            <w:r>
              <w:rPr>
                <w:rFonts w:hint="eastAsia" w:ascii="宋体" w:hAnsi="宋体"/>
                <w:szCs w:val="21"/>
              </w:rPr>
              <w:t>22)支持基于网络实现开关机和复位控制的功能；</w:t>
            </w:r>
            <w:r>
              <w:rPr>
                <w:rFonts w:hint="eastAsia" w:ascii="宋体" w:hAnsi="宋体"/>
                <w:szCs w:val="21"/>
              </w:rPr>
              <w:br w:type="textWrapping"/>
            </w:r>
            <w:r>
              <w:rPr>
                <w:rFonts w:hint="eastAsia" w:ascii="宋体" w:hAnsi="宋体"/>
                <w:szCs w:val="21"/>
              </w:rPr>
              <w:t>23)BMC 启动时间应不超过 180s，实现功能包括网络、IPMI、散热、传感器服务可用；</w:t>
            </w:r>
            <w:r>
              <w:rPr>
                <w:rFonts w:hint="eastAsia" w:ascii="宋体" w:hAnsi="宋体"/>
                <w:szCs w:val="21"/>
              </w:rPr>
              <w:br w:type="textWrapping"/>
            </w:r>
            <w:r>
              <w:rPr>
                <w:rFonts w:hint="eastAsia" w:ascii="宋体" w:hAnsi="宋体"/>
                <w:szCs w:val="21"/>
              </w:rPr>
              <w:t xml:space="preserve">24)支持 BMC 固件设置的恢复出厂功能 </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若有特殊需求，采购人根据需要增减所需功能</w:t>
            </w:r>
          </w:p>
        </w:tc>
      </w:tr>
      <w:tr>
        <w:tblPrEx>
          <w:tblCellMar>
            <w:top w:w="0" w:type="dxa"/>
            <w:left w:w="108" w:type="dxa"/>
            <w:bottom w:w="0" w:type="dxa"/>
            <w:right w:w="108" w:type="dxa"/>
          </w:tblCellMar>
        </w:tblPrEx>
        <w:trPr>
          <w:trHeight w:val="336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szCs w:val="21"/>
              </w:rPr>
            </w:pPr>
          </w:p>
        </w:tc>
      </w:tr>
      <w:tr>
        <w:tblPrEx>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48</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BMC固件增强功能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a）网络控制、安装提供图形访问界面网络；b）设备的BMC管理软件界面显示报警信息，且能够按报警的严重程度进行区分；c）WebGUI采用BMC端口直连，平均响应时间为不大于1s</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若有特殊需求，采购人根据需要增减所需功能</w:t>
            </w:r>
          </w:p>
        </w:tc>
      </w:tr>
      <w:tr>
        <w:tblPrEx>
          <w:tblCellMar>
            <w:top w:w="0" w:type="dxa"/>
            <w:left w:w="108" w:type="dxa"/>
            <w:bottom w:w="0" w:type="dxa"/>
            <w:right w:w="108" w:type="dxa"/>
          </w:tblCellMar>
        </w:tblPrEx>
        <w:trPr>
          <w:trHeight w:val="408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49</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★BIOS固件基础功能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a）支持查看固件版本、内存信息、主板信息、处理器信息和系统时间信息功能；</w:t>
            </w:r>
            <w:r>
              <w:rPr>
                <w:rFonts w:hint="eastAsia" w:ascii="宋体" w:hAnsi="宋体"/>
                <w:szCs w:val="21"/>
              </w:rPr>
              <w:br w:type="textWrapping"/>
            </w:r>
            <w:r>
              <w:rPr>
                <w:rFonts w:hint="eastAsia" w:ascii="宋体" w:hAnsi="宋体"/>
                <w:szCs w:val="21"/>
              </w:rPr>
              <w:t>b）支持上电初始化界面显示CPU信息、内存信息、固件版本和部分快捷键信息功能；</w:t>
            </w:r>
            <w:r>
              <w:rPr>
                <w:rFonts w:hint="eastAsia" w:ascii="宋体" w:hAnsi="宋体"/>
                <w:szCs w:val="21"/>
              </w:rPr>
              <w:br w:type="textWrapping"/>
            </w:r>
            <w:r>
              <w:rPr>
                <w:rFonts w:hint="eastAsia" w:ascii="宋体" w:hAnsi="宋体"/>
                <w:szCs w:val="21"/>
              </w:rPr>
              <w:t>c）支持设置界面中英文显示切换功能；</w:t>
            </w:r>
            <w:r>
              <w:rPr>
                <w:rFonts w:hint="eastAsia" w:ascii="宋体" w:hAnsi="宋体"/>
                <w:szCs w:val="21"/>
              </w:rPr>
              <w:br w:type="textWrapping"/>
            </w:r>
            <w:r>
              <w:rPr>
                <w:rFonts w:hint="eastAsia" w:ascii="宋体" w:hAnsi="宋体"/>
                <w:szCs w:val="21"/>
              </w:rPr>
              <w:t>d）支持查看 PCIe 设备信息，SATA设备信息功能；</w:t>
            </w:r>
            <w:r>
              <w:rPr>
                <w:rFonts w:hint="eastAsia" w:ascii="宋体" w:hAnsi="宋体"/>
                <w:szCs w:val="21"/>
              </w:rPr>
              <w:br w:type="textWrapping"/>
            </w:r>
            <w:r>
              <w:rPr>
                <w:rFonts w:hint="eastAsia" w:ascii="宋体" w:hAnsi="宋体"/>
                <w:szCs w:val="21"/>
              </w:rPr>
              <w:t>e）支持操作系统安装和引导功能，应并向操作系统提供计算机主板信息和服务接口；</w:t>
            </w:r>
            <w:r>
              <w:rPr>
                <w:rFonts w:hint="eastAsia" w:ascii="宋体" w:hAnsi="宋体"/>
                <w:szCs w:val="21"/>
              </w:rPr>
              <w:br w:type="textWrapping"/>
            </w:r>
            <w:r>
              <w:rPr>
                <w:rFonts w:hint="eastAsia" w:ascii="宋体" w:hAnsi="宋体"/>
                <w:szCs w:val="21"/>
              </w:rPr>
              <w:t>f）支持设置启动顺序，并按照设置的启动顺序启动功能；</w:t>
            </w:r>
            <w:r>
              <w:rPr>
                <w:rFonts w:hint="eastAsia" w:ascii="宋体" w:hAnsi="宋体"/>
                <w:szCs w:val="21"/>
              </w:rPr>
              <w:br w:type="textWrapping"/>
            </w:r>
            <w:r>
              <w:rPr>
                <w:rFonts w:hint="eastAsia" w:ascii="宋体" w:hAnsi="宋体"/>
                <w:szCs w:val="21"/>
              </w:rPr>
              <w:t>g）支持安全启动功能；</w:t>
            </w:r>
            <w:r>
              <w:rPr>
                <w:rFonts w:hint="eastAsia" w:ascii="宋体" w:hAnsi="宋体"/>
                <w:szCs w:val="21"/>
              </w:rPr>
              <w:br w:type="textWrapping"/>
            </w:r>
            <w:r>
              <w:rPr>
                <w:rFonts w:hint="eastAsia" w:ascii="宋体" w:hAnsi="宋体"/>
                <w:szCs w:val="21"/>
              </w:rPr>
              <w:t>h）支持设置口令、修改口令、验证口令功能；</w:t>
            </w:r>
            <w:r>
              <w:rPr>
                <w:rFonts w:hint="eastAsia" w:ascii="宋体" w:hAnsi="宋体"/>
                <w:szCs w:val="21"/>
              </w:rPr>
              <w:br w:type="textWrapping"/>
            </w:r>
            <w:r>
              <w:rPr>
                <w:rFonts w:hint="eastAsia" w:ascii="宋体" w:hAnsi="宋体"/>
                <w:szCs w:val="21"/>
              </w:rPr>
              <w:t>i）支持板载显示控制或独立显卡的显示控制功能；</w:t>
            </w:r>
            <w:r>
              <w:rPr>
                <w:rFonts w:hint="eastAsia" w:ascii="宋体" w:hAnsi="宋体"/>
                <w:szCs w:val="21"/>
              </w:rPr>
              <w:br w:type="textWrapping"/>
            </w:r>
            <w:r>
              <w:rPr>
                <w:rFonts w:hint="eastAsia" w:ascii="宋体" w:hAnsi="宋体"/>
                <w:szCs w:val="21"/>
              </w:rPr>
              <w:t>j）支持 RAID 识别和启动功能；</w:t>
            </w:r>
            <w:r>
              <w:rPr>
                <w:rFonts w:hint="eastAsia" w:ascii="宋体" w:hAnsi="宋体"/>
                <w:szCs w:val="21"/>
              </w:rPr>
              <w:br w:type="textWrapping"/>
            </w:r>
            <w:r>
              <w:rPr>
                <w:rFonts w:hint="eastAsia" w:ascii="宋体" w:hAnsi="宋体"/>
                <w:szCs w:val="21"/>
              </w:rPr>
              <w:t>k）支持串口重定向功能；</w:t>
            </w:r>
            <w:r>
              <w:rPr>
                <w:rFonts w:hint="eastAsia" w:ascii="宋体" w:hAnsi="宋体"/>
                <w:szCs w:val="21"/>
              </w:rPr>
              <w:br w:type="textWrapping"/>
            </w:r>
            <w:r>
              <w:rPr>
                <w:rFonts w:hint="eastAsia" w:ascii="宋体" w:hAnsi="宋体"/>
                <w:szCs w:val="21"/>
              </w:rPr>
              <w:t>l）支持固件更新功能；</w:t>
            </w:r>
            <w:r>
              <w:rPr>
                <w:rFonts w:hint="eastAsia" w:ascii="宋体" w:hAnsi="宋体"/>
                <w:szCs w:val="21"/>
              </w:rPr>
              <w:br w:type="textWrapping"/>
            </w:r>
            <w:r>
              <w:rPr>
                <w:rFonts w:hint="eastAsia" w:ascii="宋体" w:hAnsi="宋体"/>
                <w:szCs w:val="21"/>
              </w:rPr>
              <w:t>m）支持 BIOS 固件设置的恢复出厂功能；</w:t>
            </w:r>
            <w:r>
              <w:rPr>
                <w:rFonts w:hint="eastAsia" w:ascii="宋体" w:hAnsi="宋体"/>
                <w:szCs w:val="21"/>
              </w:rPr>
              <w:br w:type="textWrapping"/>
            </w:r>
            <w:r>
              <w:rPr>
                <w:rFonts w:hint="eastAsia" w:ascii="宋体" w:hAnsi="宋体"/>
                <w:szCs w:val="21"/>
              </w:rPr>
              <w:t>n）支持网络引导启用和关闭功能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若有特殊需求，采购人根据需要增减所需功能</w:t>
            </w:r>
          </w:p>
        </w:tc>
      </w:tr>
      <w:tr>
        <w:tblPrEx>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50</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szCs w:val="21"/>
              </w:rPr>
            </w:pPr>
            <w:r>
              <w:rPr>
                <w:rFonts w:hint="eastAsia" w:ascii="宋体" w:hAnsi="宋体"/>
                <w:szCs w:val="21"/>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★远程控制</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服务器具备远程关机和重新启动功能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支持该功能便于产品运维</w:t>
            </w:r>
          </w:p>
        </w:tc>
      </w:tr>
      <w:tr>
        <w:tblPrEx>
          <w:tblCellMar>
            <w:top w:w="0" w:type="dxa"/>
            <w:left w:w="108" w:type="dxa"/>
            <w:bottom w:w="0" w:type="dxa"/>
            <w:right w:w="108" w:type="dxa"/>
          </w:tblCellMar>
        </w:tblPrEx>
        <w:trPr>
          <w:trHeight w:val="73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51</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宋体" w:hAnsi="宋体"/>
                <w:szCs w:val="21"/>
              </w:rPr>
            </w:pPr>
            <w:r>
              <w:rPr>
                <w:rFonts w:hint="eastAsia" w:ascii="宋体" w:hAnsi="宋体"/>
                <w:szCs w:val="21"/>
              </w:rPr>
              <w:t>功能要求</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操作系统及驱动功能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★操作系统及驱动的升级</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服务器支持通过网络、闪存盘对操作系统、驱动进行升级</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973"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52</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功能要求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★操作系统功能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a) 具备访问控制、安全审计、网络接入鉴别等功能；</w:t>
            </w:r>
            <w:r>
              <w:rPr>
                <w:rFonts w:hint="eastAsia" w:ascii="宋体" w:hAnsi="宋体"/>
                <w:szCs w:val="21"/>
              </w:rPr>
              <w:br w:type="textWrapping"/>
            </w:r>
            <w:r>
              <w:rPr>
                <w:rFonts w:hint="eastAsia" w:ascii="宋体" w:hAnsi="宋体"/>
                <w:szCs w:val="21"/>
              </w:rPr>
              <w:t>b) 操作系统其他功能满足操作系统政府采购需求标准中加★的指标要求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如有特殊需求采购人可补充相关要求</w:t>
            </w:r>
          </w:p>
        </w:tc>
      </w:tr>
      <w:tr>
        <w:tblPrEx>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53</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功能要求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中文信息处理功能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★中文信息处理</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符合GB 18030的有关规定</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涉及中文信息处理内容应符合GB18030要求</w:t>
            </w:r>
          </w:p>
        </w:tc>
      </w:tr>
      <w:tr>
        <w:tblPrEx>
          <w:tblCellMar>
            <w:top w:w="0" w:type="dxa"/>
            <w:left w:w="108" w:type="dxa"/>
            <w:bottom w:w="0" w:type="dxa"/>
            <w:right w:w="108" w:type="dxa"/>
          </w:tblCellMar>
        </w:tblPrEx>
        <w:trPr>
          <w:trHeight w:val="16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54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安全要求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关键部件安全要求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★关键部件安全要求3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CPU和操作系统等关键部件应当符合安全可靠测评要求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通过政府有关部门指定的中国信息安全测评中心和国家保密科技测评中心网站查看安全可靠测评结果</w:t>
            </w:r>
          </w:p>
        </w:tc>
      </w:tr>
      <w:tr>
        <w:tblPrEx>
          <w:tblCellMar>
            <w:top w:w="0" w:type="dxa"/>
            <w:left w:w="108" w:type="dxa"/>
            <w:bottom w:w="0" w:type="dxa"/>
            <w:right w:w="108" w:type="dxa"/>
          </w:tblCellMar>
        </w:tblPrEx>
        <w:trPr>
          <w:trHeight w:val="73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55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安全要求</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固件安全要求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★故障检测</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服务器支持故障检测功能，可以检测到具体的FRU（内存、硬盘等）的故障并发出告警</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支持该功能可有效提升系统安全性和稳定性</w:t>
            </w:r>
          </w:p>
        </w:tc>
      </w:tr>
      <w:tr>
        <w:tblPrEx>
          <w:tblCellMar>
            <w:top w:w="0" w:type="dxa"/>
            <w:left w:w="108" w:type="dxa"/>
            <w:bottom w:w="0" w:type="dxa"/>
            <w:right w:w="108" w:type="dxa"/>
          </w:tblCellMar>
        </w:tblPrEx>
        <w:trPr>
          <w:trHeight w:val="73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56</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安全要求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弱口令字典检查</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支持弱口令字典检查功能，出现在弱口令字典中的字符串不能被设置为用户口令</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支持该功能可有效提升系统安全性和稳定性</w:t>
            </w:r>
          </w:p>
        </w:tc>
      </w:tr>
      <w:tr>
        <w:tblPrEx>
          <w:tblCellMar>
            <w:top w:w="0" w:type="dxa"/>
            <w:left w:w="108" w:type="dxa"/>
            <w:bottom w:w="0" w:type="dxa"/>
            <w:right w:w="108" w:type="dxa"/>
          </w:tblCellMar>
        </w:tblPrEx>
        <w:trPr>
          <w:trHeight w:val="73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57</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安全要求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★白名单访问控制</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应支持基于时间、IP或MAC白名单访问控制</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支持该功能可有效提升系统安全性和稳定性</w:t>
            </w:r>
          </w:p>
        </w:tc>
      </w:tr>
      <w:tr>
        <w:tblPrEx>
          <w:tblCellMar>
            <w:top w:w="0" w:type="dxa"/>
            <w:left w:w="108" w:type="dxa"/>
            <w:bottom w:w="0" w:type="dxa"/>
            <w:right w:w="108" w:type="dxa"/>
          </w:tblCellMar>
        </w:tblPrEx>
        <w:trPr>
          <w:trHeight w:val="73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58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安全要求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双因素鉴别</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支持使用客户端证书和证书密码的双因素鉴别方式登录管理系统</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支持该功能可有效提升系统安全性和稳定性</w:t>
            </w:r>
          </w:p>
        </w:tc>
      </w:tr>
      <w:tr>
        <w:tblPrEx>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59</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安全要求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二次鉴别</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应支持二次鉴别功能。对于用户配置、权限配置、公钥导入等重要的管理操作，已登录用户应通过二次鉴别后，才能执行操作</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支持该功能可有效提升系统安全性和稳定性</w:t>
            </w:r>
          </w:p>
        </w:tc>
      </w:tr>
      <w:tr>
        <w:tblPrEx>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60</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安全要求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★密码证书安全加密存储</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服务器应支持对带外管理系统中的用户口令和证书等敏感信息进行加密存储，禁止使用私有的和业界已知不安全的密码算法</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支持该功能可有效提升系统安全性和稳定性</w:t>
            </w:r>
          </w:p>
        </w:tc>
      </w:tr>
      <w:tr>
        <w:tblPrEx>
          <w:tblCellMar>
            <w:top w:w="0" w:type="dxa"/>
            <w:left w:w="108" w:type="dxa"/>
            <w:bottom w:w="0" w:type="dxa"/>
            <w:right w:w="108" w:type="dxa"/>
          </w:tblCellMar>
        </w:tblPrEx>
        <w:trPr>
          <w:trHeight w:val="73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61</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安全要求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★敏感信息安全加密传输</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服务器应支持使用安全的传输加密协议（如SSH或HTTPS等）传输用户的敏感信息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支持该功能可有效提升系统安全性和稳定性</w:t>
            </w:r>
          </w:p>
        </w:tc>
      </w:tr>
      <w:tr>
        <w:tblPrEx>
          <w:tblCellMar>
            <w:top w:w="0" w:type="dxa"/>
            <w:left w:w="108" w:type="dxa"/>
            <w:bottom w:w="0" w:type="dxa"/>
            <w:right w:w="108" w:type="dxa"/>
          </w:tblCellMar>
        </w:tblPrEx>
        <w:trPr>
          <w:trHeight w:val="145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62</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安全要求</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信息安全要求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★研发过程安全</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供应商应构建从需求、设计、开发、测试、维护端到端的开发流程管理机制，输出和保存开发流程中每个阶段的产品需求清单、设计文档、开发文档、测试用例等材料，保证各个流程可追溯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63</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安全要求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增强要求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a)嵌入物理可信根，实现设备的信任链构建；b)支持可信平台控制模块(TPCM)；c)支持在固件系统（BMC、BIOS）启动前实现对固件度量的功能，支持物理可信根对BMC固件或BIOS固件进行完整性检测、更新和恢复；d)支持对CPU、网络控制器等关键处理器进行身份识别与度量的功能；e)支持基于处理器或可信计算模块度量的功能；f)所采用的可信密码模块接口应符合GM/T0012的相关规定；g)可信安全管理模块、处理器等硬件载体应通过国家相关部门的认证和许可</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支持的增强功能越多产品安全性越高，但也会造成性能损耗；若支持可信计算可参考GB/T29827的相关规定</w:t>
            </w:r>
          </w:p>
        </w:tc>
      </w:tr>
      <w:tr>
        <w:tblPrEx>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64</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安全要求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物理安全</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物理安全</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服务器的安全要求应符合GB 4943.1的规定</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65</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安全要求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限用物质的限量要求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限用物质的限量要求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限用物质的限量应符合GB/T 26572的要求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66</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性能要求</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CPU性能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★CPU主频</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rPr>
              <w:t>≥2.2GHz</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同类型CPU主频越高性能越强</w:t>
            </w:r>
          </w:p>
        </w:tc>
      </w:tr>
      <w:tr>
        <w:tblPrEx>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67</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性能要求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★单CPU核数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≥32核心</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核数越多，多任务并行执行能力越强</w:t>
            </w: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68</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性能要求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★单CPU末级缓存容量</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≥64MB</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缓存容量(cache)容量越大，缓存命中的概率越大。cache命中率跟容量正向相关</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69</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性能要求</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内存性能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单内存模块容量</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≥64GB</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一般配置容量越大性能越好</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70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性能要求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★内存速率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≥3200MT/s</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内存速率越高性能越好</w:t>
            </w:r>
          </w:p>
        </w:tc>
      </w:tr>
      <w:tr>
        <w:tblPrEx>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71</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性能要求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RAID卡性能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RAID卡缓存容量大小</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若配备RAID卡且RAID卡有缓存容量，容量不少于</w:t>
            </w:r>
            <w:r>
              <w:rPr>
                <w:rFonts w:hint="eastAsia" w:ascii="宋体" w:hAnsi="宋体"/>
                <w:szCs w:val="21"/>
                <w:lang w:val="en-US" w:eastAsia="zh-CN"/>
              </w:rPr>
              <w:t>4</w:t>
            </w:r>
            <w:r>
              <w:rPr>
                <w:rFonts w:hint="eastAsia" w:ascii="宋体" w:hAnsi="宋体"/>
                <w:szCs w:val="21"/>
              </w:rPr>
              <w:t>GB</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缓存容量越大，性能越好</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72</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性能要求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板载网卡速率</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≥1GE</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73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性能要求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电源能耗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★电源能耗</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应符合GB/T 9813.3的有关规定</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74</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兼容要求</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部件兼容性要求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内存兼容性</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支持3种及以上厂商的内存产品，且均不低于产品支持的内存规格</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75</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兼容要求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固态存储兼容性</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支持3种或以上厂商的固态存储产品，且均不低于产品支持的固态存储设备规格</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76</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兼容要求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FCHBA卡兼容性</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FCHBA应适配两种或以上厂商产品</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77</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兼容要求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RAID卡兼容性</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RAID卡应适配两种或以上厂商产品</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253"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78</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兼容要求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网卡兼容性</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支持2种及以上厂商的网卡产品</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79</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兼容要求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功能卡兼容性</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内置或适配符合 PCIe 的功能卡，如：网络功能卡、存储功能卡及图形显示功能卡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80</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兼容要求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外设兼容性</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外设兼容性</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服务器应兼容多种主流生产商的外部设备，包括显示器、键盘、鼠标、闪存盘、移动硬盘、USB光驱及KVM等，要求使用不同厂商的外部设备时，系统均能正常识别和安装驱动</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81</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兼容要求</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软件兼容性</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★数据库兼容</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支持3个及以上厂商的数据库产品</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82</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兼容要求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★中间件兼容</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支持3个及以上厂商的中间件产品</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83</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兼容要求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★平台软件兼容</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支持3个及以上厂商的大数据平台</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84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兼容要求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虚拟化软件兼容</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兼容2款及以上虚拟化软件</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85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可靠性要求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存储可靠性要求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SATASSD可靠性</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SSD的m1值（MTBF的不可接受值）不低于200000h</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MTBF值越大可靠性越强</w:t>
            </w:r>
          </w:p>
        </w:tc>
      </w:tr>
      <w:tr>
        <w:tblPrEx>
          <w:tblCellMar>
            <w:top w:w="0" w:type="dxa"/>
            <w:left w:w="108" w:type="dxa"/>
            <w:bottom w:w="0" w:type="dxa"/>
            <w:right w:w="108" w:type="dxa"/>
          </w:tblCellMar>
        </w:tblPrEx>
        <w:trPr>
          <w:trHeight w:val="73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86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可靠性要求</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整机可靠性要求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★整机可靠性</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服务器的MTBF值不低于150000小时</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m1值（MTBF的不可接受值）不得低于10000小时</w:t>
            </w:r>
          </w:p>
        </w:tc>
      </w:tr>
      <w:tr>
        <w:tblPrEx>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87</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可靠性要求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风扇可靠性</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服务器风扇寿命不低于40000h</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寿命越长越好</w:t>
            </w:r>
          </w:p>
        </w:tc>
      </w:tr>
      <w:tr>
        <w:tblPrEx>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88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可靠性要求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★部件可靠性</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支持硬盘、电源、风扇热插拔</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支持热插拔可提高运维管理效率</w:t>
            </w:r>
          </w:p>
        </w:tc>
      </w:tr>
      <w:tr>
        <w:tblPrEx>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89</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包装及运输要求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包装及运输要求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★标志、包装、运输和贮存</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符合GB/T 9813.3和商品包装政府采购需求标准的相关规定</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212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90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服务要求</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服务响应</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★服务响应</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a) 提供电话、电子邮件、远程连接等多种形式服务；</w:t>
            </w:r>
            <w:r>
              <w:rPr>
                <w:rFonts w:hint="eastAsia" w:ascii="宋体" w:hAnsi="宋体"/>
                <w:szCs w:val="21"/>
              </w:rPr>
              <w:br w:type="textWrapping"/>
            </w:r>
            <w:r>
              <w:rPr>
                <w:rFonts w:hint="eastAsia" w:ascii="宋体" w:hAnsi="宋体"/>
                <w:szCs w:val="21"/>
              </w:rPr>
              <w:t>b) 7×24小时技术响应，48小时内解决问题，对于未能解决的问题和故障应提供可行的升级方案，并提供周转设备；</w:t>
            </w:r>
            <w:r>
              <w:rPr>
                <w:rFonts w:hint="eastAsia" w:ascii="宋体" w:hAnsi="宋体"/>
                <w:szCs w:val="21"/>
              </w:rPr>
              <w:br w:type="textWrapping"/>
            </w:r>
            <w:r>
              <w:rPr>
                <w:rFonts w:hint="eastAsia" w:ascii="宋体" w:hAnsi="宋体"/>
                <w:szCs w:val="21"/>
              </w:rPr>
              <w:t>c) 建立全国技术服务体系和服务团体，符合专业服务体系标准要求，提供原厂中文服务；</w:t>
            </w:r>
            <w:r>
              <w:rPr>
                <w:rFonts w:hint="eastAsia" w:ascii="宋体" w:hAnsi="宋体"/>
                <w:szCs w:val="21"/>
              </w:rPr>
              <w:br w:type="textWrapping"/>
            </w:r>
            <w:r>
              <w:rPr>
                <w:rFonts w:hint="eastAsia" w:ascii="宋体" w:hAnsi="宋体"/>
                <w:szCs w:val="21"/>
              </w:rPr>
              <w:t>d) 服务周期内提供产品的维修、换件和升级服务。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采购人可根据实际需要提出更高要求</w:t>
            </w:r>
          </w:p>
        </w:tc>
      </w:tr>
      <w:tr>
        <w:tblPrEx>
          <w:tblCellMar>
            <w:top w:w="0" w:type="dxa"/>
            <w:left w:w="108" w:type="dxa"/>
            <w:bottom w:w="0" w:type="dxa"/>
            <w:right w:w="108" w:type="dxa"/>
          </w:tblCellMar>
        </w:tblPrEx>
        <w:trPr>
          <w:trHeight w:val="4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91</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服务要求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★培训服务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供应商应提供培训材料、产品手册、培训视频等培训相关内容</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培训材料越详细，越丰富越好</w:t>
            </w:r>
          </w:p>
        </w:tc>
      </w:tr>
      <w:tr>
        <w:tblPrEx>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92</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服务要求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服务周期</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★服务周期</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a) 产品免费服务周期（含换件和维修）应不小于3年；</w:t>
            </w:r>
            <w:r>
              <w:rPr>
                <w:rFonts w:hint="eastAsia" w:ascii="宋体" w:hAnsi="宋体"/>
                <w:szCs w:val="21"/>
              </w:rPr>
              <w:br w:type="textWrapping"/>
            </w:r>
            <w:r>
              <w:rPr>
                <w:rFonts w:hint="eastAsia" w:ascii="宋体" w:hAnsi="宋体"/>
                <w:szCs w:val="21"/>
              </w:rPr>
              <w:t>b) 设备停产后供应商应继续提供质量保障服务（含备品备件），服务终止时间与最后一批设备交付时间间隔不低于6年；</w:t>
            </w:r>
            <w:r>
              <w:rPr>
                <w:rFonts w:hint="eastAsia" w:ascii="宋体" w:hAnsi="宋体"/>
                <w:szCs w:val="21"/>
              </w:rPr>
              <w:br w:type="textWrapping"/>
            </w:r>
            <w:r>
              <w:rPr>
                <w:rFonts w:hint="eastAsia" w:ascii="宋体" w:hAnsi="宋体"/>
                <w:szCs w:val="21"/>
              </w:rPr>
              <w:t>c) 产品停止服务时间应提前1年告知客户；</w:t>
            </w:r>
            <w:r>
              <w:rPr>
                <w:rFonts w:hint="eastAsia" w:ascii="宋体" w:hAnsi="宋体"/>
                <w:szCs w:val="21"/>
              </w:rPr>
              <w:br w:type="textWrapping"/>
            </w:r>
            <w:r>
              <w:rPr>
                <w:rFonts w:hint="eastAsia" w:ascii="宋体" w:hAnsi="宋体"/>
                <w:szCs w:val="21"/>
              </w:rPr>
              <w:t>d) 产品发布日期需由供应商在随机文件中明确。</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采购人可根据实际需要提出更高要求</w:t>
            </w:r>
          </w:p>
        </w:tc>
      </w:tr>
      <w:tr>
        <w:tblPrEx>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93</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服务要求</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服务工具要求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★工具要求</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服务器应提供设置服务器硬件、辅助操作系统安装等功能的辅助工具和管理软件。且随附软件应具备合法授权或版权</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9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94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服务要求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★驱动安装升级指引</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供应商应提供出厂安装的配件所需的驱动程序，形式包括但不限于驱动光盘、驱动下载链接等。其他配件应提供指引</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95</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服务要求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★管理软件</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供应商应具备资源管理、系统管理、性能监控、健康监控、基于网络控制、报警设置功能</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96</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服务要求</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增值服务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★厂家升级产品软件与扩容服务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供应商应提供原厂级的部件/软件产品升级和扩容能力</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采购人可根据实际需要提出更高要求</w:t>
            </w:r>
          </w:p>
        </w:tc>
      </w:tr>
      <w:tr>
        <w:tblPrEx>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97</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服务要求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★提供上门服务</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供应商应具备提供上门服务的能力</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r>
        <w:tblPrEx>
          <w:tblCellMar>
            <w:top w:w="0" w:type="dxa"/>
            <w:left w:w="108" w:type="dxa"/>
            <w:bottom w:w="0" w:type="dxa"/>
            <w:right w:w="108" w:type="dxa"/>
          </w:tblCellMar>
        </w:tblPrEx>
        <w:trPr>
          <w:trHeight w:val="104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szCs w:val="21"/>
                <w:lang w:val="en"/>
              </w:rPr>
            </w:pPr>
            <w:r>
              <w:rPr>
                <w:rFonts w:hint="default" w:ascii="宋体" w:hAnsi="宋体"/>
                <w:szCs w:val="21"/>
                <w:lang w:val="en"/>
              </w:rPr>
              <w:t>98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供保要求</w:t>
            </w:r>
          </w:p>
        </w:tc>
        <w:tc>
          <w:tcPr>
            <w:tcW w:w="0" w:type="auto"/>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供应链质量</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★抗干扰性</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当产品部件出现供应风险时，应通知客户并提供风险应对方案确保产品的服务保障，必要时应停止相关受影响产品的销售。</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同类器件/软件件可替代供应商越多越好</w:t>
            </w:r>
          </w:p>
        </w:tc>
      </w:tr>
      <w:tr>
        <w:tblPrEx>
          <w:tblCellMar>
            <w:top w:w="0" w:type="dxa"/>
            <w:left w:w="108" w:type="dxa"/>
            <w:bottom w:w="0" w:type="dxa"/>
            <w:right w:w="108" w:type="dxa"/>
          </w:tblCellMar>
        </w:tblPrEx>
        <w:trPr>
          <w:trHeight w:val="73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default" w:ascii="宋体" w:hAnsi="宋体"/>
                <w:szCs w:val="21"/>
                <w:lang w:val="en"/>
              </w:rPr>
              <w:t>99</w:t>
            </w:r>
            <w:r>
              <w:rPr>
                <w:rFonts w:hint="eastAsia" w:ascii="宋体" w:hAnsi="宋体"/>
                <w:szCs w:val="21"/>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szCs w:val="21"/>
              </w:rPr>
            </w:pPr>
            <w:r>
              <w:rPr>
                <w:rFonts w:hint="eastAsia" w:ascii="宋体" w:hAnsi="宋体"/>
                <w:szCs w:val="21"/>
              </w:rPr>
              <w:t>供保要求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★供应能力证明</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供应商提供提供供应链稳定承诺书，确保产品的部件在产品服务周期内稳定供货。</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szCs w:val="21"/>
              </w:rPr>
            </w:pPr>
            <w:r>
              <w:rPr>
                <w:rFonts w:hint="eastAsia" w:ascii="宋体" w:hAnsi="宋体"/>
                <w:szCs w:val="21"/>
              </w:rPr>
              <w:t>/</w:t>
            </w:r>
          </w:p>
        </w:tc>
      </w:tr>
    </w:tbl>
    <w:p>
      <w:pPr>
        <w:spacing w:line="360" w:lineRule="auto"/>
        <w:rPr>
          <w:sz w:val="24"/>
        </w:rPr>
      </w:pPr>
    </w:p>
    <w:p>
      <w:pPr>
        <w:spacing w:line="360" w:lineRule="auto"/>
        <w:ind w:firstLine="448" w:firstLineChars="200"/>
        <w:outlineLvl w:val="0"/>
        <w:rPr>
          <w:sz w:val="24"/>
        </w:rPr>
      </w:pPr>
      <w:r>
        <w:rPr>
          <w:rFonts w:hint="eastAsia" w:hAnsiTheme="minorEastAsia"/>
          <w:sz w:val="24"/>
        </w:rPr>
        <w:t>注：</w:t>
      </w:r>
    </w:p>
    <w:p>
      <w:pPr>
        <w:spacing w:line="360" w:lineRule="auto"/>
        <w:ind w:firstLine="448" w:firstLineChars="200"/>
        <w:outlineLvl w:val="0"/>
        <w:rPr>
          <w:sz w:val="24"/>
        </w:rPr>
      </w:pPr>
      <w:r>
        <w:rPr>
          <w:rFonts w:hint="eastAsia" w:hAnsiTheme="minorEastAsia"/>
          <w:sz w:val="24"/>
        </w:rPr>
        <w:t>加注</w:t>
      </w:r>
      <w:r>
        <w:rPr>
          <w:rFonts w:hint="eastAsia"/>
          <w:sz w:val="24"/>
        </w:rPr>
        <w:t>“</w:t>
      </w:r>
      <w:r>
        <w:rPr>
          <w:rFonts w:hint="eastAsia" w:hAnsiTheme="minorEastAsia"/>
          <w:sz w:val="24"/>
        </w:rPr>
        <w:t>★</w:t>
      </w:r>
      <w:r>
        <w:rPr>
          <w:rFonts w:hint="eastAsia"/>
          <w:sz w:val="24"/>
        </w:rPr>
        <w:t>”</w:t>
      </w:r>
      <w:r>
        <w:rPr>
          <w:rFonts w:hint="eastAsia" w:hAnsiTheme="minorEastAsia"/>
          <w:sz w:val="24"/>
        </w:rPr>
        <w:t>号条款为实质性条款，不得出现负偏离，发生负偏离即做无效标处理。</w:t>
      </w:r>
    </w:p>
    <w:p>
      <w:pPr>
        <w:spacing w:line="360" w:lineRule="auto"/>
        <w:ind w:firstLine="448" w:firstLineChars="200"/>
        <w:outlineLvl w:val="0"/>
        <w:rPr>
          <w:sz w:val="24"/>
        </w:rPr>
      </w:pPr>
    </w:p>
    <w:p>
      <w:pPr>
        <w:spacing w:line="360" w:lineRule="auto"/>
        <w:ind w:firstLine="448" w:firstLineChars="200"/>
        <w:outlineLvl w:val="0"/>
        <w:rPr>
          <w:sz w:val="24"/>
        </w:rPr>
      </w:pPr>
    </w:p>
    <w:p>
      <w:pPr>
        <w:widowControl/>
        <w:spacing w:line="240" w:lineRule="auto"/>
        <w:ind w:firstLine="0" w:firstLineChars="0"/>
        <w:jc w:val="left"/>
        <w:rPr>
          <w:b/>
          <w:bCs/>
          <w:sz w:val="24"/>
        </w:rPr>
      </w:pPr>
      <w:bookmarkStart w:id="0" w:name="_GoBack"/>
      <w:bookmarkEnd w:id="0"/>
    </w:p>
    <w:sectPr>
      <w:footerReference r:id="rId3"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Cambria">
    <w:altName w:val="FreeSerif"/>
    <w:panose1 w:val="02040503050406030204"/>
    <w:charset w:val="00"/>
    <w:family w:val="roman"/>
    <w:pitch w:val="default"/>
    <w:sig w:usb0="00000000" w:usb1="00000000" w:usb2="02000000" w:usb3="00000000" w:csb0="2000019F" w:csb1="00000000"/>
  </w:font>
  <w:font w:name=".......">
    <w:altName w:val="仿宋"/>
    <w:panose1 w:val="00000000000000000000"/>
    <w:charset w:val="86"/>
    <w:family w:val="roman"/>
    <w:pitch w:val="default"/>
    <w:sig w:usb0="00000000" w:usb1="00000000" w:usb2="00000010" w:usb3="00000000" w:csb0="00040000" w:csb1="00000000"/>
  </w:font>
  <w:font w:name="����">
    <w:altName w:val="华文中宋"/>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中宋">
    <w:panose1 w:val="02010600040101010101"/>
    <w:charset w:val="86"/>
    <w:family w:val="auto"/>
    <w:pitch w:val="default"/>
    <w:sig w:usb0="00000287" w:usb1="080F0000" w:usb2="00000000" w:usb3="00000000" w:csb0="0004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b/>
      </w:rPr>
      <w:fldChar w:fldCharType="begin"/>
    </w:r>
    <w:r>
      <w:rPr>
        <w:b/>
      </w:rPr>
      <w:instrText xml:space="preserve">PAGE  \* Arabic  \* MERGEFORMAT</w:instrText>
    </w:r>
    <w:r>
      <w:rPr>
        <w:b/>
      </w:rPr>
      <w:fldChar w:fldCharType="separate"/>
    </w:r>
    <w:r>
      <w:rPr>
        <w:b/>
        <w:lang w:val="zh-CN"/>
      </w:rPr>
      <w:t>1</w:t>
    </w:r>
    <w:r>
      <w:rPr>
        <w:b/>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7F6A45"/>
    <w:multiLevelType w:val="multilevel"/>
    <w:tmpl w:val="367F6A45"/>
    <w:lvl w:ilvl="0" w:tentative="0">
      <w:start w:val="1"/>
      <w:numFmt w:val="decimal"/>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7"/>
      <w:lvlText w:val="%3."/>
      <w:lvlJc w:val="left"/>
      <w:pPr>
        <w:ind w:left="792" w:hanging="360"/>
      </w:pPr>
      <w:rPr>
        <w:rFonts w:hint="default"/>
      </w:rPr>
    </w:lvl>
    <w:lvl w:ilvl="3" w:tentative="0">
      <w:start w:val="1"/>
      <w:numFmt w:val="lowerRoman"/>
      <w:lvlText w:val="%4."/>
      <w:lvlJc w:val="left"/>
      <w:pPr>
        <w:ind w:left="1152" w:hanging="360"/>
      </w:pPr>
      <w:rPr>
        <w:rFonts w:hint="default"/>
      </w:rPr>
    </w:lvl>
    <w:lvl w:ilvl="4" w:tentative="0">
      <w:start w:val="1"/>
      <w:numFmt w:val="lowerLetter"/>
      <w:pStyle w:val="16"/>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U4NTFjZDUyMjczN2VlYmNmMGM4NjZkOTA5ZTkwNGQifQ=="/>
  </w:docVars>
  <w:rsids>
    <w:rsidRoot w:val="00325832"/>
    <w:rsid w:val="00000D09"/>
    <w:rsid w:val="000018D8"/>
    <w:rsid w:val="00001FD1"/>
    <w:rsid w:val="00006EF1"/>
    <w:rsid w:val="0000795D"/>
    <w:rsid w:val="00010DCF"/>
    <w:rsid w:val="00011B73"/>
    <w:rsid w:val="00013068"/>
    <w:rsid w:val="00013701"/>
    <w:rsid w:val="00014723"/>
    <w:rsid w:val="000161FE"/>
    <w:rsid w:val="000170FC"/>
    <w:rsid w:val="00017C2D"/>
    <w:rsid w:val="00020A5D"/>
    <w:rsid w:val="000227B2"/>
    <w:rsid w:val="00025E3C"/>
    <w:rsid w:val="000308AC"/>
    <w:rsid w:val="00030BD8"/>
    <w:rsid w:val="00032015"/>
    <w:rsid w:val="00033D1E"/>
    <w:rsid w:val="000356AE"/>
    <w:rsid w:val="000361B9"/>
    <w:rsid w:val="00036A32"/>
    <w:rsid w:val="000403B6"/>
    <w:rsid w:val="0004130F"/>
    <w:rsid w:val="00042FFE"/>
    <w:rsid w:val="00044850"/>
    <w:rsid w:val="00050365"/>
    <w:rsid w:val="0005525E"/>
    <w:rsid w:val="00055D19"/>
    <w:rsid w:val="00055F52"/>
    <w:rsid w:val="00056208"/>
    <w:rsid w:val="0005643C"/>
    <w:rsid w:val="00056EF3"/>
    <w:rsid w:val="000607D4"/>
    <w:rsid w:val="000611E4"/>
    <w:rsid w:val="0006262D"/>
    <w:rsid w:val="00063218"/>
    <w:rsid w:val="00063879"/>
    <w:rsid w:val="00064956"/>
    <w:rsid w:val="00065BDD"/>
    <w:rsid w:val="00066601"/>
    <w:rsid w:val="000671A1"/>
    <w:rsid w:val="000675EC"/>
    <w:rsid w:val="0007081F"/>
    <w:rsid w:val="00070E0E"/>
    <w:rsid w:val="000716AA"/>
    <w:rsid w:val="00071F3B"/>
    <w:rsid w:val="00072543"/>
    <w:rsid w:val="00074F44"/>
    <w:rsid w:val="00075096"/>
    <w:rsid w:val="000756A0"/>
    <w:rsid w:val="00075BCB"/>
    <w:rsid w:val="00075C85"/>
    <w:rsid w:val="00076BA5"/>
    <w:rsid w:val="000775F5"/>
    <w:rsid w:val="00081168"/>
    <w:rsid w:val="000822B1"/>
    <w:rsid w:val="0008252F"/>
    <w:rsid w:val="000826F9"/>
    <w:rsid w:val="00086EBE"/>
    <w:rsid w:val="000871A1"/>
    <w:rsid w:val="00092400"/>
    <w:rsid w:val="00095252"/>
    <w:rsid w:val="000A0277"/>
    <w:rsid w:val="000A119B"/>
    <w:rsid w:val="000A14FA"/>
    <w:rsid w:val="000A3F59"/>
    <w:rsid w:val="000A5CEA"/>
    <w:rsid w:val="000B1531"/>
    <w:rsid w:val="000B2975"/>
    <w:rsid w:val="000C103D"/>
    <w:rsid w:val="000C337F"/>
    <w:rsid w:val="000C62C5"/>
    <w:rsid w:val="000C6CA8"/>
    <w:rsid w:val="000C7A3F"/>
    <w:rsid w:val="000D1BBD"/>
    <w:rsid w:val="000D232A"/>
    <w:rsid w:val="000D26D7"/>
    <w:rsid w:val="000D2F5A"/>
    <w:rsid w:val="000D3152"/>
    <w:rsid w:val="000D514E"/>
    <w:rsid w:val="000D706C"/>
    <w:rsid w:val="000E50F9"/>
    <w:rsid w:val="000E6A76"/>
    <w:rsid w:val="000F0768"/>
    <w:rsid w:val="000F106F"/>
    <w:rsid w:val="000F1202"/>
    <w:rsid w:val="000F1454"/>
    <w:rsid w:val="000F48D9"/>
    <w:rsid w:val="000F4B95"/>
    <w:rsid w:val="000F53CB"/>
    <w:rsid w:val="000F5C82"/>
    <w:rsid w:val="000F6957"/>
    <w:rsid w:val="00100EA8"/>
    <w:rsid w:val="00104096"/>
    <w:rsid w:val="00104EFC"/>
    <w:rsid w:val="0010588B"/>
    <w:rsid w:val="0010775A"/>
    <w:rsid w:val="001106F6"/>
    <w:rsid w:val="001165C6"/>
    <w:rsid w:val="001171AB"/>
    <w:rsid w:val="00121CDE"/>
    <w:rsid w:val="001256ED"/>
    <w:rsid w:val="0013287E"/>
    <w:rsid w:val="00134C0A"/>
    <w:rsid w:val="001351F5"/>
    <w:rsid w:val="00136F51"/>
    <w:rsid w:val="001411F4"/>
    <w:rsid w:val="00141664"/>
    <w:rsid w:val="00141B0C"/>
    <w:rsid w:val="00141BC7"/>
    <w:rsid w:val="00143B4D"/>
    <w:rsid w:val="00145E32"/>
    <w:rsid w:val="0014634C"/>
    <w:rsid w:val="001515D5"/>
    <w:rsid w:val="001524A8"/>
    <w:rsid w:val="00154232"/>
    <w:rsid w:val="00155128"/>
    <w:rsid w:val="0015599A"/>
    <w:rsid w:val="00157876"/>
    <w:rsid w:val="00160B09"/>
    <w:rsid w:val="00163A02"/>
    <w:rsid w:val="001659F0"/>
    <w:rsid w:val="0016618B"/>
    <w:rsid w:val="00167D3B"/>
    <w:rsid w:val="001707F2"/>
    <w:rsid w:val="00171166"/>
    <w:rsid w:val="00172B5E"/>
    <w:rsid w:val="00173561"/>
    <w:rsid w:val="00175016"/>
    <w:rsid w:val="001756A1"/>
    <w:rsid w:val="001760DF"/>
    <w:rsid w:val="001816C4"/>
    <w:rsid w:val="00181ED5"/>
    <w:rsid w:val="001834DA"/>
    <w:rsid w:val="001855B2"/>
    <w:rsid w:val="00185762"/>
    <w:rsid w:val="00190B14"/>
    <w:rsid w:val="001935DE"/>
    <w:rsid w:val="00193BCD"/>
    <w:rsid w:val="0019431D"/>
    <w:rsid w:val="00194FBC"/>
    <w:rsid w:val="00196D6B"/>
    <w:rsid w:val="00196E07"/>
    <w:rsid w:val="001A1718"/>
    <w:rsid w:val="001A2919"/>
    <w:rsid w:val="001A2A8A"/>
    <w:rsid w:val="001A3DE3"/>
    <w:rsid w:val="001A46F9"/>
    <w:rsid w:val="001A575B"/>
    <w:rsid w:val="001B105C"/>
    <w:rsid w:val="001B2525"/>
    <w:rsid w:val="001B5BEA"/>
    <w:rsid w:val="001C0E64"/>
    <w:rsid w:val="001C1366"/>
    <w:rsid w:val="001C1981"/>
    <w:rsid w:val="001C3FCB"/>
    <w:rsid w:val="001C50CC"/>
    <w:rsid w:val="001C5152"/>
    <w:rsid w:val="001C7255"/>
    <w:rsid w:val="001D1850"/>
    <w:rsid w:val="001E3CB7"/>
    <w:rsid w:val="001F2B50"/>
    <w:rsid w:val="001F3072"/>
    <w:rsid w:val="001F345B"/>
    <w:rsid w:val="001F65EF"/>
    <w:rsid w:val="00200E3F"/>
    <w:rsid w:val="002027E3"/>
    <w:rsid w:val="00204D75"/>
    <w:rsid w:val="00210D0A"/>
    <w:rsid w:val="002113A2"/>
    <w:rsid w:val="00212E26"/>
    <w:rsid w:val="00212FB4"/>
    <w:rsid w:val="0021418F"/>
    <w:rsid w:val="002144D3"/>
    <w:rsid w:val="00214D65"/>
    <w:rsid w:val="00215D4A"/>
    <w:rsid w:val="0021638D"/>
    <w:rsid w:val="00217746"/>
    <w:rsid w:val="00224509"/>
    <w:rsid w:val="00225C2F"/>
    <w:rsid w:val="00226572"/>
    <w:rsid w:val="00230077"/>
    <w:rsid w:val="00230690"/>
    <w:rsid w:val="002314E2"/>
    <w:rsid w:val="00231752"/>
    <w:rsid w:val="00233239"/>
    <w:rsid w:val="00243DC1"/>
    <w:rsid w:val="00244482"/>
    <w:rsid w:val="00246389"/>
    <w:rsid w:val="0024790F"/>
    <w:rsid w:val="00251ED7"/>
    <w:rsid w:val="0025218F"/>
    <w:rsid w:val="00254237"/>
    <w:rsid w:val="00261C83"/>
    <w:rsid w:val="002638F8"/>
    <w:rsid w:val="0026492F"/>
    <w:rsid w:val="00264E75"/>
    <w:rsid w:val="00264E8A"/>
    <w:rsid w:val="00265B2C"/>
    <w:rsid w:val="00266956"/>
    <w:rsid w:val="002729BD"/>
    <w:rsid w:val="00274CF5"/>
    <w:rsid w:val="00277427"/>
    <w:rsid w:val="002804EC"/>
    <w:rsid w:val="0029261B"/>
    <w:rsid w:val="00292BE5"/>
    <w:rsid w:val="00293728"/>
    <w:rsid w:val="0029386D"/>
    <w:rsid w:val="00293B4A"/>
    <w:rsid w:val="002948B5"/>
    <w:rsid w:val="00294986"/>
    <w:rsid w:val="00294EAF"/>
    <w:rsid w:val="0029610C"/>
    <w:rsid w:val="00296778"/>
    <w:rsid w:val="00297EAE"/>
    <w:rsid w:val="002A37C4"/>
    <w:rsid w:val="002A4B3C"/>
    <w:rsid w:val="002B3BB4"/>
    <w:rsid w:val="002B7CDA"/>
    <w:rsid w:val="002C098C"/>
    <w:rsid w:val="002C0F2A"/>
    <w:rsid w:val="002C1661"/>
    <w:rsid w:val="002C2F4B"/>
    <w:rsid w:val="002C4E11"/>
    <w:rsid w:val="002C696D"/>
    <w:rsid w:val="002C7FE4"/>
    <w:rsid w:val="002D09CD"/>
    <w:rsid w:val="002D17E4"/>
    <w:rsid w:val="002D57F1"/>
    <w:rsid w:val="002D5B4E"/>
    <w:rsid w:val="002E4011"/>
    <w:rsid w:val="002E65F8"/>
    <w:rsid w:val="002E732E"/>
    <w:rsid w:val="002F1119"/>
    <w:rsid w:val="002F16C0"/>
    <w:rsid w:val="002F245E"/>
    <w:rsid w:val="002F4792"/>
    <w:rsid w:val="0031086D"/>
    <w:rsid w:val="00321091"/>
    <w:rsid w:val="00321317"/>
    <w:rsid w:val="00321DA5"/>
    <w:rsid w:val="00322EA4"/>
    <w:rsid w:val="003231EA"/>
    <w:rsid w:val="00323692"/>
    <w:rsid w:val="0032567E"/>
    <w:rsid w:val="00325832"/>
    <w:rsid w:val="003260F8"/>
    <w:rsid w:val="003265E2"/>
    <w:rsid w:val="003337F2"/>
    <w:rsid w:val="00333A1D"/>
    <w:rsid w:val="00335A65"/>
    <w:rsid w:val="0034183E"/>
    <w:rsid w:val="00343849"/>
    <w:rsid w:val="003505E3"/>
    <w:rsid w:val="0035257E"/>
    <w:rsid w:val="00354775"/>
    <w:rsid w:val="0035599B"/>
    <w:rsid w:val="00355A20"/>
    <w:rsid w:val="00355EEA"/>
    <w:rsid w:val="003562E3"/>
    <w:rsid w:val="00361368"/>
    <w:rsid w:val="00363D42"/>
    <w:rsid w:val="00363F2E"/>
    <w:rsid w:val="00364265"/>
    <w:rsid w:val="0036523A"/>
    <w:rsid w:val="003663EE"/>
    <w:rsid w:val="00366C53"/>
    <w:rsid w:val="0036709D"/>
    <w:rsid w:val="003672D3"/>
    <w:rsid w:val="0037085F"/>
    <w:rsid w:val="00374D2C"/>
    <w:rsid w:val="003758AA"/>
    <w:rsid w:val="00377781"/>
    <w:rsid w:val="00377EF3"/>
    <w:rsid w:val="003803A7"/>
    <w:rsid w:val="00380538"/>
    <w:rsid w:val="00381CB7"/>
    <w:rsid w:val="0038382B"/>
    <w:rsid w:val="003839AE"/>
    <w:rsid w:val="00383A58"/>
    <w:rsid w:val="00383B18"/>
    <w:rsid w:val="003918BD"/>
    <w:rsid w:val="00391FD0"/>
    <w:rsid w:val="0039235B"/>
    <w:rsid w:val="00394B36"/>
    <w:rsid w:val="00395727"/>
    <w:rsid w:val="003A0B76"/>
    <w:rsid w:val="003A40F1"/>
    <w:rsid w:val="003A4B1D"/>
    <w:rsid w:val="003A58F8"/>
    <w:rsid w:val="003A6738"/>
    <w:rsid w:val="003A7FEB"/>
    <w:rsid w:val="003B4375"/>
    <w:rsid w:val="003B4FB4"/>
    <w:rsid w:val="003B5849"/>
    <w:rsid w:val="003B5C2C"/>
    <w:rsid w:val="003B6D2D"/>
    <w:rsid w:val="003B78E0"/>
    <w:rsid w:val="003C6110"/>
    <w:rsid w:val="003C707D"/>
    <w:rsid w:val="003C71A3"/>
    <w:rsid w:val="003D2EF8"/>
    <w:rsid w:val="003D301C"/>
    <w:rsid w:val="003D5E7D"/>
    <w:rsid w:val="003E1343"/>
    <w:rsid w:val="003E2404"/>
    <w:rsid w:val="003E2BBE"/>
    <w:rsid w:val="003E2F1E"/>
    <w:rsid w:val="003E4B1B"/>
    <w:rsid w:val="003E5355"/>
    <w:rsid w:val="003E5EA9"/>
    <w:rsid w:val="003E6127"/>
    <w:rsid w:val="003E6E8F"/>
    <w:rsid w:val="003E71CA"/>
    <w:rsid w:val="003F68DF"/>
    <w:rsid w:val="003F6B18"/>
    <w:rsid w:val="003F7598"/>
    <w:rsid w:val="003F7F16"/>
    <w:rsid w:val="0040134A"/>
    <w:rsid w:val="00401BB4"/>
    <w:rsid w:val="00402BE6"/>
    <w:rsid w:val="0040538D"/>
    <w:rsid w:val="0040553A"/>
    <w:rsid w:val="0040569C"/>
    <w:rsid w:val="00406872"/>
    <w:rsid w:val="00410A95"/>
    <w:rsid w:val="00411297"/>
    <w:rsid w:val="00411416"/>
    <w:rsid w:val="00412894"/>
    <w:rsid w:val="00414B88"/>
    <w:rsid w:val="004153D6"/>
    <w:rsid w:val="00415D1E"/>
    <w:rsid w:val="00415D39"/>
    <w:rsid w:val="00416AFE"/>
    <w:rsid w:val="0041737D"/>
    <w:rsid w:val="004176FC"/>
    <w:rsid w:val="00417F8F"/>
    <w:rsid w:val="00421497"/>
    <w:rsid w:val="00424D37"/>
    <w:rsid w:val="004267C9"/>
    <w:rsid w:val="00427873"/>
    <w:rsid w:val="00427F8D"/>
    <w:rsid w:val="00431536"/>
    <w:rsid w:val="00431821"/>
    <w:rsid w:val="00431C42"/>
    <w:rsid w:val="00432C99"/>
    <w:rsid w:val="00436E67"/>
    <w:rsid w:val="004377AC"/>
    <w:rsid w:val="00441E70"/>
    <w:rsid w:val="004424FE"/>
    <w:rsid w:val="00442682"/>
    <w:rsid w:val="00443C74"/>
    <w:rsid w:val="00445313"/>
    <w:rsid w:val="00445C1F"/>
    <w:rsid w:val="004469EF"/>
    <w:rsid w:val="00446C94"/>
    <w:rsid w:val="004559D5"/>
    <w:rsid w:val="00457B84"/>
    <w:rsid w:val="00457D0B"/>
    <w:rsid w:val="00460809"/>
    <w:rsid w:val="00461A5D"/>
    <w:rsid w:val="00463F25"/>
    <w:rsid w:val="004715D1"/>
    <w:rsid w:val="00471879"/>
    <w:rsid w:val="00472C82"/>
    <w:rsid w:val="00472F16"/>
    <w:rsid w:val="00481C64"/>
    <w:rsid w:val="004826E0"/>
    <w:rsid w:val="0048533D"/>
    <w:rsid w:val="00491AAD"/>
    <w:rsid w:val="00495B68"/>
    <w:rsid w:val="00495ECD"/>
    <w:rsid w:val="004A0E64"/>
    <w:rsid w:val="004A0F57"/>
    <w:rsid w:val="004A155E"/>
    <w:rsid w:val="004A2375"/>
    <w:rsid w:val="004A2BCE"/>
    <w:rsid w:val="004A313B"/>
    <w:rsid w:val="004A3709"/>
    <w:rsid w:val="004A3B65"/>
    <w:rsid w:val="004A4E98"/>
    <w:rsid w:val="004A6A8F"/>
    <w:rsid w:val="004A7516"/>
    <w:rsid w:val="004A7F72"/>
    <w:rsid w:val="004B2793"/>
    <w:rsid w:val="004B61FA"/>
    <w:rsid w:val="004B725D"/>
    <w:rsid w:val="004B786D"/>
    <w:rsid w:val="004C1EC2"/>
    <w:rsid w:val="004D241A"/>
    <w:rsid w:val="004D302F"/>
    <w:rsid w:val="004D5AE3"/>
    <w:rsid w:val="004D6293"/>
    <w:rsid w:val="004D6546"/>
    <w:rsid w:val="004E0B40"/>
    <w:rsid w:val="004E5186"/>
    <w:rsid w:val="004E66AE"/>
    <w:rsid w:val="004F2CBF"/>
    <w:rsid w:val="004F3B06"/>
    <w:rsid w:val="004F55DE"/>
    <w:rsid w:val="004F74AE"/>
    <w:rsid w:val="004F77FC"/>
    <w:rsid w:val="004F7B5C"/>
    <w:rsid w:val="00501095"/>
    <w:rsid w:val="00502349"/>
    <w:rsid w:val="00506CD1"/>
    <w:rsid w:val="00513A4E"/>
    <w:rsid w:val="005201BE"/>
    <w:rsid w:val="00524604"/>
    <w:rsid w:val="00525EE9"/>
    <w:rsid w:val="00526AE5"/>
    <w:rsid w:val="0053021A"/>
    <w:rsid w:val="00530E22"/>
    <w:rsid w:val="005333BF"/>
    <w:rsid w:val="005349D4"/>
    <w:rsid w:val="00535A85"/>
    <w:rsid w:val="00536B98"/>
    <w:rsid w:val="00537D63"/>
    <w:rsid w:val="005407BF"/>
    <w:rsid w:val="00542508"/>
    <w:rsid w:val="005449BE"/>
    <w:rsid w:val="00544E43"/>
    <w:rsid w:val="00547881"/>
    <w:rsid w:val="00547F40"/>
    <w:rsid w:val="00550B2F"/>
    <w:rsid w:val="00553774"/>
    <w:rsid w:val="0055739D"/>
    <w:rsid w:val="0056011E"/>
    <w:rsid w:val="0056402A"/>
    <w:rsid w:val="00566432"/>
    <w:rsid w:val="005666D6"/>
    <w:rsid w:val="0057120E"/>
    <w:rsid w:val="00572118"/>
    <w:rsid w:val="00572E0A"/>
    <w:rsid w:val="005737C6"/>
    <w:rsid w:val="00580546"/>
    <w:rsid w:val="0058275D"/>
    <w:rsid w:val="00583E55"/>
    <w:rsid w:val="005842A0"/>
    <w:rsid w:val="0058472E"/>
    <w:rsid w:val="00584D37"/>
    <w:rsid w:val="00587609"/>
    <w:rsid w:val="00593B52"/>
    <w:rsid w:val="0059473B"/>
    <w:rsid w:val="005953CA"/>
    <w:rsid w:val="005960BA"/>
    <w:rsid w:val="005A55DB"/>
    <w:rsid w:val="005A6731"/>
    <w:rsid w:val="005B177F"/>
    <w:rsid w:val="005B2918"/>
    <w:rsid w:val="005B4918"/>
    <w:rsid w:val="005B631B"/>
    <w:rsid w:val="005B6420"/>
    <w:rsid w:val="005C176F"/>
    <w:rsid w:val="005C43CF"/>
    <w:rsid w:val="005C441D"/>
    <w:rsid w:val="005C5EB1"/>
    <w:rsid w:val="005C5FE3"/>
    <w:rsid w:val="005C660D"/>
    <w:rsid w:val="005D1B17"/>
    <w:rsid w:val="005D2A6F"/>
    <w:rsid w:val="005D3074"/>
    <w:rsid w:val="005D3683"/>
    <w:rsid w:val="005D671B"/>
    <w:rsid w:val="005D792B"/>
    <w:rsid w:val="005E2406"/>
    <w:rsid w:val="005E285C"/>
    <w:rsid w:val="005E2966"/>
    <w:rsid w:val="005E3ADD"/>
    <w:rsid w:val="005E452A"/>
    <w:rsid w:val="005E6149"/>
    <w:rsid w:val="005E7FF4"/>
    <w:rsid w:val="005F09CC"/>
    <w:rsid w:val="005F1B3C"/>
    <w:rsid w:val="005F1C6B"/>
    <w:rsid w:val="005F2890"/>
    <w:rsid w:val="005F297C"/>
    <w:rsid w:val="005F3EB2"/>
    <w:rsid w:val="006001B2"/>
    <w:rsid w:val="006014DA"/>
    <w:rsid w:val="006038D0"/>
    <w:rsid w:val="00604BF0"/>
    <w:rsid w:val="00611A86"/>
    <w:rsid w:val="00612BD3"/>
    <w:rsid w:val="00615AB2"/>
    <w:rsid w:val="00616B13"/>
    <w:rsid w:val="00616BCF"/>
    <w:rsid w:val="006178BA"/>
    <w:rsid w:val="00620130"/>
    <w:rsid w:val="0062120F"/>
    <w:rsid w:val="00625361"/>
    <w:rsid w:val="00630B07"/>
    <w:rsid w:val="00632A6A"/>
    <w:rsid w:val="0063365F"/>
    <w:rsid w:val="00633921"/>
    <w:rsid w:val="00634901"/>
    <w:rsid w:val="00634D00"/>
    <w:rsid w:val="00635DAE"/>
    <w:rsid w:val="0063663A"/>
    <w:rsid w:val="00636A07"/>
    <w:rsid w:val="00636EEA"/>
    <w:rsid w:val="00636F18"/>
    <w:rsid w:val="00637E05"/>
    <w:rsid w:val="00641801"/>
    <w:rsid w:val="00642ED0"/>
    <w:rsid w:val="00644B3F"/>
    <w:rsid w:val="006478CA"/>
    <w:rsid w:val="0065048B"/>
    <w:rsid w:val="0066061F"/>
    <w:rsid w:val="006623FF"/>
    <w:rsid w:val="006632A6"/>
    <w:rsid w:val="00663FEC"/>
    <w:rsid w:val="00665F3D"/>
    <w:rsid w:val="0066632A"/>
    <w:rsid w:val="00670BE5"/>
    <w:rsid w:val="00673DD7"/>
    <w:rsid w:val="006741E5"/>
    <w:rsid w:val="00674887"/>
    <w:rsid w:val="00676812"/>
    <w:rsid w:val="006802EF"/>
    <w:rsid w:val="00681C7D"/>
    <w:rsid w:val="00693947"/>
    <w:rsid w:val="006A1C8A"/>
    <w:rsid w:val="006A4BDB"/>
    <w:rsid w:val="006A6F51"/>
    <w:rsid w:val="006A75E7"/>
    <w:rsid w:val="006B0EC3"/>
    <w:rsid w:val="006B52A7"/>
    <w:rsid w:val="006B5C77"/>
    <w:rsid w:val="006B7419"/>
    <w:rsid w:val="006B7B87"/>
    <w:rsid w:val="006B7D38"/>
    <w:rsid w:val="006C0421"/>
    <w:rsid w:val="006C0461"/>
    <w:rsid w:val="006C174C"/>
    <w:rsid w:val="006C1F06"/>
    <w:rsid w:val="006C2D30"/>
    <w:rsid w:val="006C3B98"/>
    <w:rsid w:val="006C4BBE"/>
    <w:rsid w:val="006C6689"/>
    <w:rsid w:val="006C7894"/>
    <w:rsid w:val="006D0374"/>
    <w:rsid w:val="006D0A8E"/>
    <w:rsid w:val="006D0ECF"/>
    <w:rsid w:val="006D2015"/>
    <w:rsid w:val="006E0310"/>
    <w:rsid w:val="006E0CD2"/>
    <w:rsid w:val="006E1997"/>
    <w:rsid w:val="006E1DC3"/>
    <w:rsid w:val="006E2EB7"/>
    <w:rsid w:val="006F030B"/>
    <w:rsid w:val="006F0645"/>
    <w:rsid w:val="006F1700"/>
    <w:rsid w:val="006F618A"/>
    <w:rsid w:val="0070070A"/>
    <w:rsid w:val="00716014"/>
    <w:rsid w:val="007173C0"/>
    <w:rsid w:val="007220DB"/>
    <w:rsid w:val="007236BA"/>
    <w:rsid w:val="007238DD"/>
    <w:rsid w:val="00723D02"/>
    <w:rsid w:val="00723D84"/>
    <w:rsid w:val="00724717"/>
    <w:rsid w:val="0072660C"/>
    <w:rsid w:val="007278FB"/>
    <w:rsid w:val="00730ECD"/>
    <w:rsid w:val="00731AB7"/>
    <w:rsid w:val="0074180F"/>
    <w:rsid w:val="0074297A"/>
    <w:rsid w:val="00746019"/>
    <w:rsid w:val="00746C56"/>
    <w:rsid w:val="007532A0"/>
    <w:rsid w:val="007558DB"/>
    <w:rsid w:val="00755AB9"/>
    <w:rsid w:val="00760746"/>
    <w:rsid w:val="007612A9"/>
    <w:rsid w:val="00763791"/>
    <w:rsid w:val="00764052"/>
    <w:rsid w:val="00766299"/>
    <w:rsid w:val="00766870"/>
    <w:rsid w:val="00767517"/>
    <w:rsid w:val="007714C6"/>
    <w:rsid w:val="00771DDB"/>
    <w:rsid w:val="007737A3"/>
    <w:rsid w:val="00773DC4"/>
    <w:rsid w:val="007753D0"/>
    <w:rsid w:val="0077606A"/>
    <w:rsid w:val="00780182"/>
    <w:rsid w:val="00780E86"/>
    <w:rsid w:val="0078146D"/>
    <w:rsid w:val="00781801"/>
    <w:rsid w:val="00784C33"/>
    <w:rsid w:val="007925BD"/>
    <w:rsid w:val="0079363C"/>
    <w:rsid w:val="00793B6E"/>
    <w:rsid w:val="00796CC4"/>
    <w:rsid w:val="007A0BCD"/>
    <w:rsid w:val="007A1EEC"/>
    <w:rsid w:val="007A4BB5"/>
    <w:rsid w:val="007A4FB6"/>
    <w:rsid w:val="007A5636"/>
    <w:rsid w:val="007A5AEB"/>
    <w:rsid w:val="007A6EBE"/>
    <w:rsid w:val="007B1550"/>
    <w:rsid w:val="007B1B3A"/>
    <w:rsid w:val="007B2FEC"/>
    <w:rsid w:val="007B4071"/>
    <w:rsid w:val="007B4E82"/>
    <w:rsid w:val="007B7C1E"/>
    <w:rsid w:val="007C1D1B"/>
    <w:rsid w:val="007C422C"/>
    <w:rsid w:val="007D0798"/>
    <w:rsid w:val="007D0961"/>
    <w:rsid w:val="007D5665"/>
    <w:rsid w:val="007D588E"/>
    <w:rsid w:val="007D680D"/>
    <w:rsid w:val="007D6EC1"/>
    <w:rsid w:val="007E0131"/>
    <w:rsid w:val="007E0EAB"/>
    <w:rsid w:val="007E24EB"/>
    <w:rsid w:val="007E4CD6"/>
    <w:rsid w:val="007E7E5F"/>
    <w:rsid w:val="007F0DF7"/>
    <w:rsid w:val="007F1ACA"/>
    <w:rsid w:val="007F1F0C"/>
    <w:rsid w:val="007F5589"/>
    <w:rsid w:val="007F79A8"/>
    <w:rsid w:val="007F7B9E"/>
    <w:rsid w:val="008005A8"/>
    <w:rsid w:val="008022C3"/>
    <w:rsid w:val="00803DEE"/>
    <w:rsid w:val="008047E1"/>
    <w:rsid w:val="008069CB"/>
    <w:rsid w:val="0080752E"/>
    <w:rsid w:val="008129E8"/>
    <w:rsid w:val="00814C9A"/>
    <w:rsid w:val="008150C7"/>
    <w:rsid w:val="00815E04"/>
    <w:rsid w:val="00817270"/>
    <w:rsid w:val="008204E3"/>
    <w:rsid w:val="008252B9"/>
    <w:rsid w:val="00837228"/>
    <w:rsid w:val="0084084A"/>
    <w:rsid w:val="00844D3D"/>
    <w:rsid w:val="00846B20"/>
    <w:rsid w:val="008506B2"/>
    <w:rsid w:val="00851179"/>
    <w:rsid w:val="00852EBB"/>
    <w:rsid w:val="008536E0"/>
    <w:rsid w:val="00853917"/>
    <w:rsid w:val="0085585F"/>
    <w:rsid w:val="00855A31"/>
    <w:rsid w:val="00855AF5"/>
    <w:rsid w:val="00855FFB"/>
    <w:rsid w:val="00857284"/>
    <w:rsid w:val="00860E59"/>
    <w:rsid w:val="0086454E"/>
    <w:rsid w:val="0086630A"/>
    <w:rsid w:val="008736D0"/>
    <w:rsid w:val="00874016"/>
    <w:rsid w:val="0087401C"/>
    <w:rsid w:val="008749C9"/>
    <w:rsid w:val="00877C12"/>
    <w:rsid w:val="00883479"/>
    <w:rsid w:val="00885937"/>
    <w:rsid w:val="00885DD4"/>
    <w:rsid w:val="00886809"/>
    <w:rsid w:val="0088750D"/>
    <w:rsid w:val="008876CD"/>
    <w:rsid w:val="008879C5"/>
    <w:rsid w:val="00890051"/>
    <w:rsid w:val="00892F7A"/>
    <w:rsid w:val="0089306D"/>
    <w:rsid w:val="008951B3"/>
    <w:rsid w:val="00895914"/>
    <w:rsid w:val="008A1E8A"/>
    <w:rsid w:val="008A3CB1"/>
    <w:rsid w:val="008B1F79"/>
    <w:rsid w:val="008B2D70"/>
    <w:rsid w:val="008B3001"/>
    <w:rsid w:val="008B5C22"/>
    <w:rsid w:val="008B5DBC"/>
    <w:rsid w:val="008B65EB"/>
    <w:rsid w:val="008C12BD"/>
    <w:rsid w:val="008C338A"/>
    <w:rsid w:val="008C3C92"/>
    <w:rsid w:val="008C4E8A"/>
    <w:rsid w:val="008D1F47"/>
    <w:rsid w:val="008D4422"/>
    <w:rsid w:val="008D640B"/>
    <w:rsid w:val="008E3C04"/>
    <w:rsid w:val="008E56E2"/>
    <w:rsid w:val="008E5938"/>
    <w:rsid w:val="008E59EA"/>
    <w:rsid w:val="008F040A"/>
    <w:rsid w:val="008F075B"/>
    <w:rsid w:val="008F35A8"/>
    <w:rsid w:val="008F3A5B"/>
    <w:rsid w:val="008F4858"/>
    <w:rsid w:val="00900A3D"/>
    <w:rsid w:val="00900FDD"/>
    <w:rsid w:val="009016E3"/>
    <w:rsid w:val="00907861"/>
    <w:rsid w:val="0091101C"/>
    <w:rsid w:val="00913750"/>
    <w:rsid w:val="00913F09"/>
    <w:rsid w:val="00917496"/>
    <w:rsid w:val="009206F7"/>
    <w:rsid w:val="00920CD4"/>
    <w:rsid w:val="0092105D"/>
    <w:rsid w:val="0092151E"/>
    <w:rsid w:val="00926BA6"/>
    <w:rsid w:val="00927B53"/>
    <w:rsid w:val="009345DB"/>
    <w:rsid w:val="0093630E"/>
    <w:rsid w:val="00936E99"/>
    <w:rsid w:val="00941302"/>
    <w:rsid w:val="009424DA"/>
    <w:rsid w:val="00947EC9"/>
    <w:rsid w:val="00951A8D"/>
    <w:rsid w:val="009533CE"/>
    <w:rsid w:val="00954AD1"/>
    <w:rsid w:val="00955B43"/>
    <w:rsid w:val="0095612C"/>
    <w:rsid w:val="00957265"/>
    <w:rsid w:val="00962A82"/>
    <w:rsid w:val="009662F0"/>
    <w:rsid w:val="00966DD6"/>
    <w:rsid w:val="009678FF"/>
    <w:rsid w:val="0097327D"/>
    <w:rsid w:val="00975AEF"/>
    <w:rsid w:val="00975D17"/>
    <w:rsid w:val="00977FB6"/>
    <w:rsid w:val="009809F0"/>
    <w:rsid w:val="009829B0"/>
    <w:rsid w:val="00990618"/>
    <w:rsid w:val="0099108D"/>
    <w:rsid w:val="00995B20"/>
    <w:rsid w:val="00995F93"/>
    <w:rsid w:val="0099688A"/>
    <w:rsid w:val="00996C19"/>
    <w:rsid w:val="009978CB"/>
    <w:rsid w:val="009A0B81"/>
    <w:rsid w:val="009A28F8"/>
    <w:rsid w:val="009A3182"/>
    <w:rsid w:val="009A36DA"/>
    <w:rsid w:val="009A4641"/>
    <w:rsid w:val="009A64B1"/>
    <w:rsid w:val="009A6BC9"/>
    <w:rsid w:val="009A70B1"/>
    <w:rsid w:val="009A7596"/>
    <w:rsid w:val="009B477B"/>
    <w:rsid w:val="009B533C"/>
    <w:rsid w:val="009B656D"/>
    <w:rsid w:val="009C019D"/>
    <w:rsid w:val="009C04EE"/>
    <w:rsid w:val="009C25DB"/>
    <w:rsid w:val="009C513D"/>
    <w:rsid w:val="009C5544"/>
    <w:rsid w:val="009C69C7"/>
    <w:rsid w:val="009D10B3"/>
    <w:rsid w:val="009D187B"/>
    <w:rsid w:val="009D2385"/>
    <w:rsid w:val="009D3012"/>
    <w:rsid w:val="009D349B"/>
    <w:rsid w:val="009D5ACD"/>
    <w:rsid w:val="009D5C8E"/>
    <w:rsid w:val="009E0499"/>
    <w:rsid w:val="009E0B0E"/>
    <w:rsid w:val="009E193C"/>
    <w:rsid w:val="009E2558"/>
    <w:rsid w:val="009E3B6B"/>
    <w:rsid w:val="009E4458"/>
    <w:rsid w:val="009E44DC"/>
    <w:rsid w:val="009E7D35"/>
    <w:rsid w:val="009F2269"/>
    <w:rsid w:val="009F598A"/>
    <w:rsid w:val="00A002FE"/>
    <w:rsid w:val="00A00DFB"/>
    <w:rsid w:val="00A010CA"/>
    <w:rsid w:val="00A02228"/>
    <w:rsid w:val="00A03C90"/>
    <w:rsid w:val="00A03EDD"/>
    <w:rsid w:val="00A07E61"/>
    <w:rsid w:val="00A10C43"/>
    <w:rsid w:val="00A10E86"/>
    <w:rsid w:val="00A1114F"/>
    <w:rsid w:val="00A11FFD"/>
    <w:rsid w:val="00A12C8D"/>
    <w:rsid w:val="00A12FAC"/>
    <w:rsid w:val="00A140E2"/>
    <w:rsid w:val="00A143AB"/>
    <w:rsid w:val="00A1524D"/>
    <w:rsid w:val="00A21611"/>
    <w:rsid w:val="00A216D7"/>
    <w:rsid w:val="00A218BC"/>
    <w:rsid w:val="00A252F0"/>
    <w:rsid w:val="00A264A9"/>
    <w:rsid w:val="00A26C90"/>
    <w:rsid w:val="00A3181B"/>
    <w:rsid w:val="00A31C58"/>
    <w:rsid w:val="00A3561D"/>
    <w:rsid w:val="00A35BC5"/>
    <w:rsid w:val="00A440E2"/>
    <w:rsid w:val="00A45815"/>
    <w:rsid w:val="00A5016B"/>
    <w:rsid w:val="00A5132F"/>
    <w:rsid w:val="00A522B7"/>
    <w:rsid w:val="00A5241A"/>
    <w:rsid w:val="00A53678"/>
    <w:rsid w:val="00A53C66"/>
    <w:rsid w:val="00A55CB3"/>
    <w:rsid w:val="00A57696"/>
    <w:rsid w:val="00A60795"/>
    <w:rsid w:val="00A60AF2"/>
    <w:rsid w:val="00A62455"/>
    <w:rsid w:val="00A64A05"/>
    <w:rsid w:val="00A64F8F"/>
    <w:rsid w:val="00A6798B"/>
    <w:rsid w:val="00A711EB"/>
    <w:rsid w:val="00A71FDC"/>
    <w:rsid w:val="00A7203A"/>
    <w:rsid w:val="00A74C1E"/>
    <w:rsid w:val="00A753B0"/>
    <w:rsid w:val="00A8009D"/>
    <w:rsid w:val="00A80AAB"/>
    <w:rsid w:val="00A86EF2"/>
    <w:rsid w:val="00A90811"/>
    <w:rsid w:val="00A90E13"/>
    <w:rsid w:val="00A92667"/>
    <w:rsid w:val="00A92A1A"/>
    <w:rsid w:val="00A936E7"/>
    <w:rsid w:val="00A947C9"/>
    <w:rsid w:val="00A95C55"/>
    <w:rsid w:val="00A97408"/>
    <w:rsid w:val="00AA0FDA"/>
    <w:rsid w:val="00AA2CF3"/>
    <w:rsid w:val="00AA40D1"/>
    <w:rsid w:val="00AA6B88"/>
    <w:rsid w:val="00AA772B"/>
    <w:rsid w:val="00AB040F"/>
    <w:rsid w:val="00AB0F96"/>
    <w:rsid w:val="00AB13C6"/>
    <w:rsid w:val="00AB1AAB"/>
    <w:rsid w:val="00AB1AB2"/>
    <w:rsid w:val="00AB472B"/>
    <w:rsid w:val="00AB77CD"/>
    <w:rsid w:val="00AC0B2F"/>
    <w:rsid w:val="00AC27FA"/>
    <w:rsid w:val="00AC29D7"/>
    <w:rsid w:val="00AC7CD8"/>
    <w:rsid w:val="00AC7ED6"/>
    <w:rsid w:val="00AD07A0"/>
    <w:rsid w:val="00AD2C65"/>
    <w:rsid w:val="00AD2F15"/>
    <w:rsid w:val="00AE1773"/>
    <w:rsid w:val="00AE2ECF"/>
    <w:rsid w:val="00AE4EE8"/>
    <w:rsid w:val="00AE5C1F"/>
    <w:rsid w:val="00AE6074"/>
    <w:rsid w:val="00AE736E"/>
    <w:rsid w:val="00AF048E"/>
    <w:rsid w:val="00AF06D9"/>
    <w:rsid w:val="00AF5442"/>
    <w:rsid w:val="00AF6A68"/>
    <w:rsid w:val="00B012DE"/>
    <w:rsid w:val="00B01473"/>
    <w:rsid w:val="00B05458"/>
    <w:rsid w:val="00B10D4C"/>
    <w:rsid w:val="00B113CA"/>
    <w:rsid w:val="00B1328E"/>
    <w:rsid w:val="00B133CB"/>
    <w:rsid w:val="00B13707"/>
    <w:rsid w:val="00B13CD0"/>
    <w:rsid w:val="00B14BC8"/>
    <w:rsid w:val="00B15135"/>
    <w:rsid w:val="00B243BE"/>
    <w:rsid w:val="00B25107"/>
    <w:rsid w:val="00B32A76"/>
    <w:rsid w:val="00B32C88"/>
    <w:rsid w:val="00B34317"/>
    <w:rsid w:val="00B369C3"/>
    <w:rsid w:val="00B4237D"/>
    <w:rsid w:val="00B42656"/>
    <w:rsid w:val="00B43332"/>
    <w:rsid w:val="00B443B4"/>
    <w:rsid w:val="00B44C24"/>
    <w:rsid w:val="00B452D5"/>
    <w:rsid w:val="00B45888"/>
    <w:rsid w:val="00B45B15"/>
    <w:rsid w:val="00B51D96"/>
    <w:rsid w:val="00B53BD7"/>
    <w:rsid w:val="00B56096"/>
    <w:rsid w:val="00B5683D"/>
    <w:rsid w:val="00B658AD"/>
    <w:rsid w:val="00B6631A"/>
    <w:rsid w:val="00B6637D"/>
    <w:rsid w:val="00B666EF"/>
    <w:rsid w:val="00B671A0"/>
    <w:rsid w:val="00B672EC"/>
    <w:rsid w:val="00B70743"/>
    <w:rsid w:val="00B728F9"/>
    <w:rsid w:val="00B75ED8"/>
    <w:rsid w:val="00B76A11"/>
    <w:rsid w:val="00B812A5"/>
    <w:rsid w:val="00B8141F"/>
    <w:rsid w:val="00B817DB"/>
    <w:rsid w:val="00B830A3"/>
    <w:rsid w:val="00B84566"/>
    <w:rsid w:val="00B85B8D"/>
    <w:rsid w:val="00B85D52"/>
    <w:rsid w:val="00B86890"/>
    <w:rsid w:val="00B868B6"/>
    <w:rsid w:val="00B979DD"/>
    <w:rsid w:val="00BA33E7"/>
    <w:rsid w:val="00BA3CA9"/>
    <w:rsid w:val="00BA404F"/>
    <w:rsid w:val="00BA48C0"/>
    <w:rsid w:val="00BA4E83"/>
    <w:rsid w:val="00BA4ECD"/>
    <w:rsid w:val="00BB21E1"/>
    <w:rsid w:val="00BC1713"/>
    <w:rsid w:val="00BC6742"/>
    <w:rsid w:val="00BC74D7"/>
    <w:rsid w:val="00BC7FD0"/>
    <w:rsid w:val="00BD0EA1"/>
    <w:rsid w:val="00BD11D6"/>
    <w:rsid w:val="00BD7329"/>
    <w:rsid w:val="00BD751A"/>
    <w:rsid w:val="00BE30EE"/>
    <w:rsid w:val="00BE4FFC"/>
    <w:rsid w:val="00BE63BC"/>
    <w:rsid w:val="00BF27F1"/>
    <w:rsid w:val="00BF3297"/>
    <w:rsid w:val="00BF3B42"/>
    <w:rsid w:val="00BF7162"/>
    <w:rsid w:val="00C030CD"/>
    <w:rsid w:val="00C03843"/>
    <w:rsid w:val="00C0504F"/>
    <w:rsid w:val="00C0691A"/>
    <w:rsid w:val="00C0765F"/>
    <w:rsid w:val="00C07C56"/>
    <w:rsid w:val="00C137F2"/>
    <w:rsid w:val="00C14183"/>
    <w:rsid w:val="00C23595"/>
    <w:rsid w:val="00C23D41"/>
    <w:rsid w:val="00C24668"/>
    <w:rsid w:val="00C258AC"/>
    <w:rsid w:val="00C337B7"/>
    <w:rsid w:val="00C33D90"/>
    <w:rsid w:val="00C3694F"/>
    <w:rsid w:val="00C369C1"/>
    <w:rsid w:val="00C373B1"/>
    <w:rsid w:val="00C4022E"/>
    <w:rsid w:val="00C4294A"/>
    <w:rsid w:val="00C443E2"/>
    <w:rsid w:val="00C46949"/>
    <w:rsid w:val="00C47A30"/>
    <w:rsid w:val="00C5398E"/>
    <w:rsid w:val="00C53D13"/>
    <w:rsid w:val="00C55371"/>
    <w:rsid w:val="00C553EC"/>
    <w:rsid w:val="00C555A4"/>
    <w:rsid w:val="00C55658"/>
    <w:rsid w:val="00C627B1"/>
    <w:rsid w:val="00C65D79"/>
    <w:rsid w:val="00C66604"/>
    <w:rsid w:val="00C67013"/>
    <w:rsid w:val="00C677B6"/>
    <w:rsid w:val="00C720A2"/>
    <w:rsid w:val="00C7230E"/>
    <w:rsid w:val="00C807DD"/>
    <w:rsid w:val="00C8474B"/>
    <w:rsid w:val="00C934E9"/>
    <w:rsid w:val="00C960AB"/>
    <w:rsid w:val="00CA0D71"/>
    <w:rsid w:val="00CA262C"/>
    <w:rsid w:val="00CA793B"/>
    <w:rsid w:val="00CB1696"/>
    <w:rsid w:val="00CB40AA"/>
    <w:rsid w:val="00CB539D"/>
    <w:rsid w:val="00CB6183"/>
    <w:rsid w:val="00CC3889"/>
    <w:rsid w:val="00CC3D49"/>
    <w:rsid w:val="00CC7008"/>
    <w:rsid w:val="00CC723A"/>
    <w:rsid w:val="00CD0467"/>
    <w:rsid w:val="00CD11B0"/>
    <w:rsid w:val="00CD214D"/>
    <w:rsid w:val="00CD4977"/>
    <w:rsid w:val="00CD7147"/>
    <w:rsid w:val="00CE143E"/>
    <w:rsid w:val="00CE2CE8"/>
    <w:rsid w:val="00CE48BF"/>
    <w:rsid w:val="00CE5B88"/>
    <w:rsid w:val="00CE6847"/>
    <w:rsid w:val="00CF143E"/>
    <w:rsid w:val="00CF31B8"/>
    <w:rsid w:val="00CF3D52"/>
    <w:rsid w:val="00CF4653"/>
    <w:rsid w:val="00CF6EAD"/>
    <w:rsid w:val="00D06931"/>
    <w:rsid w:val="00D1043B"/>
    <w:rsid w:val="00D12C83"/>
    <w:rsid w:val="00D12CAF"/>
    <w:rsid w:val="00D13280"/>
    <w:rsid w:val="00D15BBF"/>
    <w:rsid w:val="00D16799"/>
    <w:rsid w:val="00D214A0"/>
    <w:rsid w:val="00D23AEA"/>
    <w:rsid w:val="00D23CDE"/>
    <w:rsid w:val="00D25048"/>
    <w:rsid w:val="00D260FE"/>
    <w:rsid w:val="00D271B3"/>
    <w:rsid w:val="00D35751"/>
    <w:rsid w:val="00D43D4D"/>
    <w:rsid w:val="00D44078"/>
    <w:rsid w:val="00D529AD"/>
    <w:rsid w:val="00D52ECC"/>
    <w:rsid w:val="00D5488C"/>
    <w:rsid w:val="00D55D73"/>
    <w:rsid w:val="00D57E7B"/>
    <w:rsid w:val="00D616C1"/>
    <w:rsid w:val="00D61F06"/>
    <w:rsid w:val="00D63D99"/>
    <w:rsid w:val="00D63E4B"/>
    <w:rsid w:val="00D646D7"/>
    <w:rsid w:val="00D67D8B"/>
    <w:rsid w:val="00D718BE"/>
    <w:rsid w:val="00D71D65"/>
    <w:rsid w:val="00D73247"/>
    <w:rsid w:val="00D7519F"/>
    <w:rsid w:val="00D83D5B"/>
    <w:rsid w:val="00D8458A"/>
    <w:rsid w:val="00D85E94"/>
    <w:rsid w:val="00D86F65"/>
    <w:rsid w:val="00D872E5"/>
    <w:rsid w:val="00D873D6"/>
    <w:rsid w:val="00D94293"/>
    <w:rsid w:val="00D94BB5"/>
    <w:rsid w:val="00D94BC3"/>
    <w:rsid w:val="00DA043B"/>
    <w:rsid w:val="00DA0676"/>
    <w:rsid w:val="00DA1C99"/>
    <w:rsid w:val="00DA27F3"/>
    <w:rsid w:val="00DA30D4"/>
    <w:rsid w:val="00DA3B07"/>
    <w:rsid w:val="00DA44A4"/>
    <w:rsid w:val="00DA4AE5"/>
    <w:rsid w:val="00DA5924"/>
    <w:rsid w:val="00DA67A5"/>
    <w:rsid w:val="00DB0913"/>
    <w:rsid w:val="00DB1E44"/>
    <w:rsid w:val="00DB2092"/>
    <w:rsid w:val="00DB3474"/>
    <w:rsid w:val="00DB3815"/>
    <w:rsid w:val="00DB5E02"/>
    <w:rsid w:val="00DB682A"/>
    <w:rsid w:val="00DC1E27"/>
    <w:rsid w:val="00DC53EC"/>
    <w:rsid w:val="00DC54A5"/>
    <w:rsid w:val="00DC65A2"/>
    <w:rsid w:val="00DC774F"/>
    <w:rsid w:val="00DC7796"/>
    <w:rsid w:val="00DD1FB1"/>
    <w:rsid w:val="00DD4A57"/>
    <w:rsid w:val="00DD4D01"/>
    <w:rsid w:val="00DD51AD"/>
    <w:rsid w:val="00DD51B9"/>
    <w:rsid w:val="00DD6F29"/>
    <w:rsid w:val="00DD708B"/>
    <w:rsid w:val="00DE4270"/>
    <w:rsid w:val="00DE5B26"/>
    <w:rsid w:val="00DE78D0"/>
    <w:rsid w:val="00DF0867"/>
    <w:rsid w:val="00DF12BE"/>
    <w:rsid w:val="00DF2A97"/>
    <w:rsid w:val="00DF49B1"/>
    <w:rsid w:val="00DF4F3E"/>
    <w:rsid w:val="00DF67A6"/>
    <w:rsid w:val="00DF76D1"/>
    <w:rsid w:val="00E00A67"/>
    <w:rsid w:val="00E03E6D"/>
    <w:rsid w:val="00E0438B"/>
    <w:rsid w:val="00E05724"/>
    <w:rsid w:val="00E07B01"/>
    <w:rsid w:val="00E11740"/>
    <w:rsid w:val="00E15D14"/>
    <w:rsid w:val="00E1622D"/>
    <w:rsid w:val="00E20F2B"/>
    <w:rsid w:val="00E227FF"/>
    <w:rsid w:val="00E2462E"/>
    <w:rsid w:val="00E269BA"/>
    <w:rsid w:val="00E3350F"/>
    <w:rsid w:val="00E34A28"/>
    <w:rsid w:val="00E3578B"/>
    <w:rsid w:val="00E40D53"/>
    <w:rsid w:val="00E426C6"/>
    <w:rsid w:val="00E42F5F"/>
    <w:rsid w:val="00E435B2"/>
    <w:rsid w:val="00E43778"/>
    <w:rsid w:val="00E44056"/>
    <w:rsid w:val="00E575B1"/>
    <w:rsid w:val="00E578C5"/>
    <w:rsid w:val="00E57BE8"/>
    <w:rsid w:val="00E60CAD"/>
    <w:rsid w:val="00E63CC6"/>
    <w:rsid w:val="00E65348"/>
    <w:rsid w:val="00E67265"/>
    <w:rsid w:val="00E672B6"/>
    <w:rsid w:val="00E7080F"/>
    <w:rsid w:val="00E716E0"/>
    <w:rsid w:val="00E71BED"/>
    <w:rsid w:val="00E735AD"/>
    <w:rsid w:val="00E7453E"/>
    <w:rsid w:val="00E75195"/>
    <w:rsid w:val="00E753DF"/>
    <w:rsid w:val="00E7658F"/>
    <w:rsid w:val="00E77325"/>
    <w:rsid w:val="00E817F5"/>
    <w:rsid w:val="00E81B33"/>
    <w:rsid w:val="00E81D71"/>
    <w:rsid w:val="00E839EF"/>
    <w:rsid w:val="00E85200"/>
    <w:rsid w:val="00E8560E"/>
    <w:rsid w:val="00E861F9"/>
    <w:rsid w:val="00E902A9"/>
    <w:rsid w:val="00E917E0"/>
    <w:rsid w:val="00E92A1C"/>
    <w:rsid w:val="00E92BE5"/>
    <w:rsid w:val="00E92C60"/>
    <w:rsid w:val="00EA3BA2"/>
    <w:rsid w:val="00EA48B8"/>
    <w:rsid w:val="00EA6EC8"/>
    <w:rsid w:val="00EB01B6"/>
    <w:rsid w:val="00EB0392"/>
    <w:rsid w:val="00EB1F35"/>
    <w:rsid w:val="00EB1FBD"/>
    <w:rsid w:val="00EB289A"/>
    <w:rsid w:val="00EB39C5"/>
    <w:rsid w:val="00EB47D5"/>
    <w:rsid w:val="00EB6C44"/>
    <w:rsid w:val="00EC07CF"/>
    <w:rsid w:val="00EC2B66"/>
    <w:rsid w:val="00EC2E03"/>
    <w:rsid w:val="00EC2FAA"/>
    <w:rsid w:val="00EC3329"/>
    <w:rsid w:val="00EC6761"/>
    <w:rsid w:val="00ED0705"/>
    <w:rsid w:val="00ED080B"/>
    <w:rsid w:val="00ED0E03"/>
    <w:rsid w:val="00ED2BD6"/>
    <w:rsid w:val="00ED4B6D"/>
    <w:rsid w:val="00ED5B0C"/>
    <w:rsid w:val="00ED6893"/>
    <w:rsid w:val="00EE55C1"/>
    <w:rsid w:val="00EE5A06"/>
    <w:rsid w:val="00EE6C34"/>
    <w:rsid w:val="00EF0D03"/>
    <w:rsid w:val="00EF0E84"/>
    <w:rsid w:val="00EF18D1"/>
    <w:rsid w:val="00EF5154"/>
    <w:rsid w:val="00EF5351"/>
    <w:rsid w:val="00EF573E"/>
    <w:rsid w:val="00EF7338"/>
    <w:rsid w:val="00F0211C"/>
    <w:rsid w:val="00F040D8"/>
    <w:rsid w:val="00F041C4"/>
    <w:rsid w:val="00F04FF1"/>
    <w:rsid w:val="00F0691A"/>
    <w:rsid w:val="00F06D90"/>
    <w:rsid w:val="00F070E8"/>
    <w:rsid w:val="00F11609"/>
    <w:rsid w:val="00F14E51"/>
    <w:rsid w:val="00F15BFB"/>
    <w:rsid w:val="00F16143"/>
    <w:rsid w:val="00F17102"/>
    <w:rsid w:val="00F172BC"/>
    <w:rsid w:val="00F238DF"/>
    <w:rsid w:val="00F24726"/>
    <w:rsid w:val="00F25935"/>
    <w:rsid w:val="00F306C7"/>
    <w:rsid w:val="00F32F05"/>
    <w:rsid w:val="00F33577"/>
    <w:rsid w:val="00F33DDF"/>
    <w:rsid w:val="00F350FE"/>
    <w:rsid w:val="00F40389"/>
    <w:rsid w:val="00F41B8B"/>
    <w:rsid w:val="00F427BF"/>
    <w:rsid w:val="00F435CE"/>
    <w:rsid w:val="00F436AA"/>
    <w:rsid w:val="00F43FF6"/>
    <w:rsid w:val="00F47A6D"/>
    <w:rsid w:val="00F51AD2"/>
    <w:rsid w:val="00F53B41"/>
    <w:rsid w:val="00F53E60"/>
    <w:rsid w:val="00F55C25"/>
    <w:rsid w:val="00F57097"/>
    <w:rsid w:val="00F61CAD"/>
    <w:rsid w:val="00F64D46"/>
    <w:rsid w:val="00F66DD2"/>
    <w:rsid w:val="00F67C9D"/>
    <w:rsid w:val="00F70820"/>
    <w:rsid w:val="00F71BEE"/>
    <w:rsid w:val="00F73CC1"/>
    <w:rsid w:val="00F740E6"/>
    <w:rsid w:val="00F77FB2"/>
    <w:rsid w:val="00F84299"/>
    <w:rsid w:val="00F8475D"/>
    <w:rsid w:val="00F86DB5"/>
    <w:rsid w:val="00F86E3C"/>
    <w:rsid w:val="00F86E7B"/>
    <w:rsid w:val="00F9117A"/>
    <w:rsid w:val="00F92891"/>
    <w:rsid w:val="00F92DF9"/>
    <w:rsid w:val="00F9306C"/>
    <w:rsid w:val="00F93685"/>
    <w:rsid w:val="00F9689C"/>
    <w:rsid w:val="00F97162"/>
    <w:rsid w:val="00FA16EF"/>
    <w:rsid w:val="00FA1C74"/>
    <w:rsid w:val="00FA30E9"/>
    <w:rsid w:val="00FA4865"/>
    <w:rsid w:val="00FA54F1"/>
    <w:rsid w:val="00FB0A47"/>
    <w:rsid w:val="00FB3025"/>
    <w:rsid w:val="00FB56AE"/>
    <w:rsid w:val="00FC4548"/>
    <w:rsid w:val="00FC4DF5"/>
    <w:rsid w:val="00FC5B2A"/>
    <w:rsid w:val="00FC6823"/>
    <w:rsid w:val="00FC735B"/>
    <w:rsid w:val="00FC7BCC"/>
    <w:rsid w:val="00FC7E2D"/>
    <w:rsid w:val="00FC7FDF"/>
    <w:rsid w:val="00FD1F48"/>
    <w:rsid w:val="00FD2929"/>
    <w:rsid w:val="00FD3118"/>
    <w:rsid w:val="00FD38BC"/>
    <w:rsid w:val="00FD4590"/>
    <w:rsid w:val="00FE251C"/>
    <w:rsid w:val="00FE3329"/>
    <w:rsid w:val="00FF342A"/>
    <w:rsid w:val="00FF5906"/>
    <w:rsid w:val="00FF5AFA"/>
    <w:rsid w:val="1C024584"/>
    <w:rsid w:val="1F5F2E88"/>
    <w:rsid w:val="23906919"/>
    <w:rsid w:val="284877C3"/>
    <w:rsid w:val="3DF54807"/>
    <w:rsid w:val="4D7F8616"/>
    <w:rsid w:val="54EFE968"/>
    <w:rsid w:val="5C417693"/>
    <w:rsid w:val="5D5B2A5A"/>
    <w:rsid w:val="5ED788B9"/>
    <w:rsid w:val="5FEFF473"/>
    <w:rsid w:val="65FFF7B2"/>
    <w:rsid w:val="68F709D4"/>
    <w:rsid w:val="7AFB3928"/>
    <w:rsid w:val="7DEB43FA"/>
    <w:rsid w:val="7EDE09FC"/>
    <w:rsid w:val="A3EB3B71"/>
    <w:rsid w:val="C3AA52DF"/>
    <w:rsid w:val="D9EF4902"/>
    <w:rsid w:val="DAF15BDC"/>
    <w:rsid w:val="DFD5B868"/>
    <w:rsid w:val="DFF07648"/>
    <w:rsid w:val="F3DD794E"/>
    <w:rsid w:val="FEF26E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5"/>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85858" w:themeColor="text1" w:themeTint="A6"/>
      <w:kern w:val="20"/>
      <w:lang w:val="zh-CN"/>
    </w:rPr>
  </w:style>
  <w:style w:type="paragraph" w:styleId="4">
    <w:name w:val="List Number"/>
    <w:basedOn w:val="1"/>
    <w:unhideWhenUsed/>
    <w:qFormat/>
    <w:uiPriority w:val="1"/>
    <w:pPr>
      <w:widowControl/>
      <w:ind w:left="357" w:hanging="357"/>
      <w:contextualSpacing/>
      <w:jc w:val="left"/>
    </w:pPr>
    <w:rPr>
      <w:rFonts w:eastAsia="微软雅黑" w:asciiTheme="minorHAnsi" w:hAnsiTheme="minorHAnsi" w:cstheme="minorBidi"/>
      <w:color w:val="585858" w:themeColor="text1" w:themeTint="A6"/>
      <w:kern w:val="20"/>
      <w:lang w:val="zh-CN"/>
    </w:rPr>
  </w:style>
  <w:style w:type="paragraph" w:styleId="5">
    <w:name w:val="annotation text"/>
    <w:basedOn w:val="1"/>
    <w:semiHidden/>
    <w:unhideWhenUsed/>
    <w:qFormat/>
    <w:uiPriority w:val="99"/>
    <w:pPr>
      <w:jc w:val="left"/>
    </w:pPr>
  </w:style>
  <w:style w:type="paragraph" w:styleId="6">
    <w:name w:val="Body Text Indent"/>
    <w:basedOn w:val="1"/>
    <w:link w:val="26"/>
    <w:qFormat/>
    <w:uiPriority w:val="0"/>
    <w:pPr>
      <w:tabs>
        <w:tab w:val="left" w:pos="480"/>
      </w:tabs>
      <w:spacing w:line="560" w:lineRule="exact"/>
      <w:ind w:firstLine="480"/>
      <w:jc w:val="left"/>
    </w:pPr>
    <w:rPr>
      <w:rFonts w:ascii="宋体" w:hAnsi="宋体"/>
      <w:sz w:val="24"/>
    </w:rPr>
  </w:style>
  <w:style w:type="paragraph" w:styleId="7">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85858" w:themeColor="text1" w:themeTint="A6"/>
      <w:kern w:val="20"/>
      <w:lang w:val="zh-CN"/>
    </w:rPr>
  </w:style>
  <w:style w:type="paragraph" w:styleId="8">
    <w:name w:val="Plain Text"/>
    <w:basedOn w:val="1"/>
    <w:link w:val="27"/>
    <w:qFormat/>
    <w:uiPriority w:val="0"/>
    <w:rPr>
      <w:rFonts w:ascii="宋体" w:hAnsi="Courier New"/>
    </w:rPr>
  </w:style>
  <w:style w:type="paragraph" w:styleId="9">
    <w:name w:val="List Number 4"/>
    <w:basedOn w:val="1"/>
    <w:unhideWhenUsed/>
    <w:qFormat/>
    <w:uiPriority w:val="18"/>
    <w:pPr>
      <w:widowControl/>
      <w:spacing w:before="40" w:after="160"/>
      <w:ind w:left="1152" w:hanging="360"/>
      <w:contextualSpacing/>
      <w:jc w:val="left"/>
    </w:pPr>
    <w:rPr>
      <w:rFonts w:eastAsia="微软雅黑" w:asciiTheme="minorHAnsi" w:hAnsiTheme="minorHAnsi" w:cstheme="minorBidi"/>
      <w:color w:val="585858" w:themeColor="text1" w:themeTint="A6"/>
      <w:kern w:val="20"/>
      <w:lang w:val="zh-CN"/>
    </w:rPr>
  </w:style>
  <w:style w:type="paragraph" w:styleId="10">
    <w:name w:val="Date"/>
    <w:basedOn w:val="1"/>
    <w:next w:val="1"/>
    <w:link w:val="28"/>
    <w:qFormat/>
    <w:uiPriority w:val="0"/>
    <w:pPr>
      <w:adjustRightInd w:val="0"/>
      <w:spacing w:line="360" w:lineRule="atLeast"/>
      <w:textAlignment w:val="baseline"/>
    </w:pPr>
    <w:rPr>
      <w:sz w:val="32"/>
    </w:rPr>
  </w:style>
  <w:style w:type="paragraph" w:styleId="11">
    <w:name w:val="Body Text Indent 2"/>
    <w:basedOn w:val="1"/>
    <w:link w:val="29"/>
    <w:semiHidden/>
    <w:unhideWhenUsed/>
    <w:qFormat/>
    <w:uiPriority w:val="99"/>
    <w:pPr>
      <w:spacing w:after="120" w:line="480" w:lineRule="auto"/>
      <w:ind w:left="420" w:leftChars="200"/>
    </w:pPr>
  </w:style>
  <w:style w:type="paragraph" w:styleId="12">
    <w:name w:val="Balloon Text"/>
    <w:basedOn w:val="1"/>
    <w:link w:val="30"/>
    <w:semiHidden/>
    <w:unhideWhenUsed/>
    <w:qFormat/>
    <w:uiPriority w:val="0"/>
    <w:rPr>
      <w:sz w:val="18"/>
      <w:szCs w:val="18"/>
    </w:rPr>
  </w:style>
  <w:style w:type="paragraph" w:styleId="13">
    <w:name w:val="footer"/>
    <w:basedOn w:val="1"/>
    <w:link w:val="31"/>
    <w:unhideWhenUsed/>
    <w:qFormat/>
    <w:uiPriority w:val="0"/>
    <w:pPr>
      <w:tabs>
        <w:tab w:val="center" w:pos="4153"/>
        <w:tab w:val="right" w:pos="8306"/>
      </w:tabs>
      <w:snapToGrid w:val="0"/>
      <w:jc w:val="left"/>
    </w:pPr>
    <w:rPr>
      <w:sz w:val="18"/>
      <w:szCs w:val="18"/>
    </w:rPr>
  </w:style>
  <w:style w:type="paragraph" w:styleId="14">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3"/>
    <w:qFormat/>
    <w:uiPriority w:val="0"/>
    <w:pPr>
      <w:spacing w:before="240" w:after="60" w:line="312" w:lineRule="auto"/>
      <w:jc w:val="center"/>
      <w:outlineLvl w:val="1"/>
    </w:pPr>
    <w:rPr>
      <w:rFonts w:ascii="Cambria" w:hAnsi="Cambria"/>
      <w:b/>
      <w:bCs/>
      <w:kern w:val="28"/>
      <w:sz w:val="32"/>
      <w:szCs w:val="32"/>
    </w:rPr>
  </w:style>
  <w:style w:type="paragraph" w:styleId="16">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85858" w:themeColor="text1" w:themeTint="A6"/>
      <w:kern w:val="20"/>
      <w:lang w:val="zh-CN"/>
    </w:rPr>
  </w:style>
  <w:style w:type="paragraph" w:styleId="17">
    <w:name w:val="Body Text Indent 3"/>
    <w:basedOn w:val="1"/>
    <w:link w:val="34"/>
    <w:semiHidden/>
    <w:unhideWhenUsed/>
    <w:qFormat/>
    <w:uiPriority w:val="99"/>
    <w:pPr>
      <w:spacing w:after="120"/>
      <w:ind w:left="420" w:leftChars="200"/>
    </w:pPr>
    <w:rPr>
      <w:sz w:val="16"/>
      <w:szCs w:val="16"/>
    </w:rPr>
  </w:style>
  <w:style w:type="paragraph" w:styleId="18">
    <w:name w:val="Body Text 2"/>
    <w:basedOn w:val="1"/>
    <w:link w:val="35"/>
    <w:semiHidden/>
    <w:unhideWhenUsed/>
    <w:qFormat/>
    <w:uiPriority w:val="99"/>
    <w:pPr>
      <w:spacing w:after="120" w:line="480" w:lineRule="auto"/>
    </w:pPr>
  </w:style>
  <w:style w:type="paragraph" w:styleId="19">
    <w:name w:val="Title"/>
    <w:basedOn w:val="1"/>
    <w:next w:val="1"/>
    <w:link w:val="46"/>
    <w:qFormat/>
    <w:uiPriority w:val="10"/>
    <w:pPr>
      <w:spacing w:before="240" w:after="60"/>
      <w:jc w:val="center"/>
      <w:outlineLvl w:val="0"/>
    </w:pPr>
    <w:rPr>
      <w:rFonts w:ascii="Cambria" w:hAnsi="Cambria"/>
      <w:b/>
      <w:bCs/>
      <w:sz w:val="32"/>
      <w:szCs w:val="32"/>
    </w:r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basedOn w:val="22"/>
    <w:semiHidden/>
    <w:unhideWhenUsed/>
    <w:qFormat/>
    <w:uiPriority w:val="99"/>
    <w:rPr>
      <w:color w:val="800080" w:themeColor="followedHyperlink"/>
      <w:u w:val="single"/>
    </w:rPr>
  </w:style>
  <w:style w:type="character" w:styleId="24">
    <w:name w:val="Hyperlink"/>
    <w:basedOn w:val="22"/>
    <w:unhideWhenUsed/>
    <w:qFormat/>
    <w:uiPriority w:val="99"/>
    <w:rPr>
      <w:color w:val="0000FF" w:themeColor="hyperlink"/>
      <w:u w:val="single"/>
    </w:rPr>
  </w:style>
  <w:style w:type="character" w:customStyle="1" w:styleId="25">
    <w:name w:val="标题 3 Char"/>
    <w:basedOn w:val="22"/>
    <w:link w:val="2"/>
    <w:qFormat/>
    <w:uiPriority w:val="0"/>
    <w:rPr>
      <w:rFonts w:ascii="Times New Roman" w:hAnsi="Times New Roman" w:eastAsia="宋体" w:cs="Times New Roman"/>
      <w:b/>
      <w:bCs/>
      <w:sz w:val="32"/>
      <w:szCs w:val="32"/>
    </w:rPr>
  </w:style>
  <w:style w:type="character" w:customStyle="1" w:styleId="26">
    <w:name w:val="正文文本缩进 Char"/>
    <w:basedOn w:val="22"/>
    <w:link w:val="6"/>
    <w:qFormat/>
    <w:uiPriority w:val="0"/>
    <w:rPr>
      <w:rFonts w:ascii="宋体" w:hAnsi="宋体" w:eastAsia="宋体" w:cs="Times New Roman"/>
      <w:sz w:val="24"/>
      <w:szCs w:val="20"/>
    </w:rPr>
  </w:style>
  <w:style w:type="character" w:customStyle="1" w:styleId="27">
    <w:name w:val="纯文本 Char1"/>
    <w:link w:val="8"/>
    <w:qFormat/>
    <w:locked/>
    <w:uiPriority w:val="0"/>
    <w:rPr>
      <w:rFonts w:ascii="宋体" w:hAnsi="Courier New" w:eastAsia="宋体" w:cs="Times New Roman"/>
      <w:szCs w:val="20"/>
    </w:rPr>
  </w:style>
  <w:style w:type="character" w:customStyle="1" w:styleId="28">
    <w:name w:val="日期 Char"/>
    <w:basedOn w:val="22"/>
    <w:link w:val="10"/>
    <w:qFormat/>
    <w:uiPriority w:val="0"/>
    <w:rPr>
      <w:rFonts w:ascii="Times New Roman" w:hAnsi="Times New Roman" w:eastAsia="宋体" w:cs="Times New Roman"/>
      <w:sz w:val="32"/>
      <w:szCs w:val="20"/>
    </w:rPr>
  </w:style>
  <w:style w:type="character" w:customStyle="1" w:styleId="29">
    <w:name w:val="正文文本缩进 2 Char"/>
    <w:basedOn w:val="22"/>
    <w:link w:val="11"/>
    <w:semiHidden/>
    <w:qFormat/>
    <w:uiPriority w:val="99"/>
    <w:rPr>
      <w:rFonts w:ascii="Times New Roman" w:hAnsi="Times New Roman" w:eastAsia="宋体" w:cs="Times New Roman"/>
      <w:szCs w:val="20"/>
    </w:rPr>
  </w:style>
  <w:style w:type="character" w:customStyle="1" w:styleId="30">
    <w:name w:val="批注框文本 Char"/>
    <w:basedOn w:val="22"/>
    <w:link w:val="12"/>
    <w:semiHidden/>
    <w:qFormat/>
    <w:uiPriority w:val="99"/>
    <w:rPr>
      <w:rFonts w:ascii="Times New Roman" w:hAnsi="Times New Roman" w:eastAsia="宋体" w:cs="Times New Roman"/>
      <w:sz w:val="18"/>
      <w:szCs w:val="18"/>
    </w:rPr>
  </w:style>
  <w:style w:type="character" w:customStyle="1" w:styleId="31">
    <w:name w:val="页脚 Char"/>
    <w:basedOn w:val="22"/>
    <w:link w:val="13"/>
    <w:qFormat/>
    <w:uiPriority w:val="0"/>
    <w:rPr>
      <w:rFonts w:ascii="Times New Roman" w:hAnsi="Times New Roman" w:eastAsia="宋体" w:cs="Times New Roman"/>
      <w:sz w:val="18"/>
      <w:szCs w:val="18"/>
    </w:rPr>
  </w:style>
  <w:style w:type="character" w:customStyle="1" w:styleId="32">
    <w:name w:val="页眉 Char"/>
    <w:basedOn w:val="22"/>
    <w:link w:val="14"/>
    <w:qFormat/>
    <w:uiPriority w:val="0"/>
    <w:rPr>
      <w:rFonts w:ascii="Times New Roman" w:hAnsi="Times New Roman" w:eastAsia="宋体" w:cs="Times New Roman"/>
      <w:sz w:val="18"/>
      <w:szCs w:val="18"/>
    </w:rPr>
  </w:style>
  <w:style w:type="character" w:customStyle="1" w:styleId="33">
    <w:name w:val="副标题 Char"/>
    <w:basedOn w:val="22"/>
    <w:link w:val="15"/>
    <w:qFormat/>
    <w:uiPriority w:val="0"/>
    <w:rPr>
      <w:rFonts w:ascii="Cambria" w:hAnsi="Cambria" w:eastAsia="宋体" w:cs="Times New Roman"/>
      <w:b/>
      <w:bCs/>
      <w:kern w:val="28"/>
      <w:sz w:val="32"/>
      <w:szCs w:val="32"/>
    </w:rPr>
  </w:style>
  <w:style w:type="character" w:customStyle="1" w:styleId="34">
    <w:name w:val="正文文本缩进 3 Char"/>
    <w:basedOn w:val="22"/>
    <w:link w:val="17"/>
    <w:semiHidden/>
    <w:qFormat/>
    <w:uiPriority w:val="99"/>
    <w:rPr>
      <w:rFonts w:ascii="Times New Roman" w:hAnsi="Times New Roman" w:eastAsia="宋体" w:cs="Times New Roman"/>
      <w:sz w:val="16"/>
      <w:szCs w:val="16"/>
    </w:rPr>
  </w:style>
  <w:style w:type="character" w:customStyle="1" w:styleId="35">
    <w:name w:val="正文文本 2 Char"/>
    <w:basedOn w:val="22"/>
    <w:link w:val="18"/>
    <w:semiHidden/>
    <w:qFormat/>
    <w:uiPriority w:val="99"/>
    <w:rPr>
      <w:rFonts w:ascii="Times New Roman" w:hAnsi="Times New Roman" w:eastAsia="宋体" w:cs="Times New Roman"/>
      <w:szCs w:val="20"/>
    </w:rPr>
  </w:style>
  <w:style w:type="paragraph" w:customStyle="1" w:styleId="36">
    <w:name w:val="Default"/>
    <w:link w:val="37"/>
    <w:qFormat/>
    <w:uiPriority w:val="0"/>
    <w:pPr>
      <w:widowControl w:val="0"/>
      <w:autoSpaceDE w:val="0"/>
      <w:autoSpaceDN w:val="0"/>
      <w:adjustRightInd w:val="0"/>
    </w:pPr>
    <w:rPr>
      <w:rFonts w:ascii="......." w:hAnsi="Calibri" w:eastAsia="......." w:cs="......."/>
      <w:color w:val="000000"/>
      <w:sz w:val="24"/>
      <w:szCs w:val="24"/>
      <w:lang w:val="en-US" w:eastAsia="zh-CN" w:bidi="ar-SA"/>
    </w:rPr>
  </w:style>
  <w:style w:type="character" w:customStyle="1" w:styleId="37">
    <w:name w:val="Default Char"/>
    <w:link w:val="36"/>
    <w:qFormat/>
    <w:locked/>
    <w:uiPriority w:val="0"/>
    <w:rPr>
      <w:rFonts w:ascii="......." w:hAnsi="Calibri" w:eastAsia="......." w:cs="......."/>
      <w:color w:val="000000"/>
      <w:kern w:val="0"/>
      <w:sz w:val="24"/>
      <w:szCs w:val="24"/>
    </w:rPr>
  </w:style>
  <w:style w:type="paragraph" w:styleId="38">
    <w:name w:val="List Paragraph"/>
    <w:basedOn w:val="1"/>
    <w:link w:val="39"/>
    <w:qFormat/>
    <w:uiPriority w:val="99"/>
    <w:pPr>
      <w:ind w:firstLine="420" w:firstLineChars="200"/>
    </w:pPr>
  </w:style>
  <w:style w:type="character" w:customStyle="1" w:styleId="39">
    <w:name w:val="列出段落 Char"/>
    <w:link w:val="38"/>
    <w:qFormat/>
    <w:uiPriority w:val="34"/>
    <w:rPr>
      <w:rFonts w:ascii="Times New Roman" w:hAnsi="Times New Roman" w:eastAsia="宋体" w:cs="Times New Roman"/>
      <w:szCs w:val="20"/>
    </w:rPr>
  </w:style>
  <w:style w:type="paragraph" w:customStyle="1" w:styleId="40">
    <w:name w:val="Char"/>
    <w:basedOn w:val="1"/>
    <w:qFormat/>
    <w:uiPriority w:val="0"/>
    <w:pPr>
      <w:tabs>
        <w:tab w:val="left" w:pos="360"/>
      </w:tabs>
    </w:pPr>
    <w:rPr>
      <w:sz w:val="24"/>
      <w:szCs w:val="24"/>
    </w:rPr>
  </w:style>
  <w:style w:type="character" w:customStyle="1" w:styleId="41">
    <w:name w:val="纯文本 Char"/>
    <w:basedOn w:val="22"/>
    <w:semiHidden/>
    <w:qFormat/>
    <w:uiPriority w:val="99"/>
    <w:rPr>
      <w:rFonts w:ascii="宋体" w:hAnsi="Courier New" w:eastAsia="宋体" w:cs="Courier New"/>
      <w:szCs w:val="21"/>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标题 Char"/>
    <w:basedOn w:val="22"/>
    <w:link w:val="19"/>
    <w:qFormat/>
    <w:uiPriority w:val="10"/>
    <w:rPr>
      <w:rFonts w:ascii="Cambria" w:hAnsi="Cambria" w:eastAsia="宋体" w:cs="Times New Roman"/>
      <w:b/>
      <w:bCs/>
      <w:kern w:val="2"/>
      <w:sz w:val="32"/>
      <w:szCs w:val="32"/>
    </w:rPr>
  </w:style>
  <w:style w:type="character" w:customStyle="1" w:styleId="47">
    <w:name w:val="control-label6"/>
    <w:basedOn w:val="22"/>
    <w:qFormat/>
    <w:uiPriority w:val="0"/>
    <w:rPr>
      <w:rFonts w:hint="eastAsia" w:ascii="微软雅黑" w:hAnsi="微软雅黑" w:eastAsia="微软雅黑"/>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77</Pages>
  <Words>6394</Words>
  <Characters>7188</Characters>
  <Lines>308</Lines>
  <Paragraphs>86</Paragraphs>
  <TotalTime>318</TotalTime>
  <ScaleCrop>false</ScaleCrop>
  <LinksUpToDate>false</LinksUpToDate>
  <CharactersWithSpaces>7220</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2017-09-15T09:35:00Z</dcterms:created>
  <dc:creator>未定义</dc:creator>
  <cp:lastModifiedBy>kylin</cp:lastModifiedBy>
  <cp:lastPrinted>2017-09-15T07:55:00Z</cp:lastPrinted>
  <dcterms:modified xsi:type="dcterms:W3CDTF">2025-04-02T11:15:39Z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AD66A8C68BC04A1E835076942F7237AA_12</vt:lpwstr>
  </property>
  <property fmtid="{D5CDD505-2E9C-101B-9397-08002B2CF9AE}" pid="4" name="KSOTemplateDocerSaveRecord">
    <vt:lpwstr>eyJoZGlkIjoiN2JkZTU1Zjk0MGE2ZTYxNmY5YzllOTIxMmNhODhjZjgiLCJ1c2VySWQiOiIyMDU2NDI3NjYifQ==</vt:lpwstr>
  </property>
</Properties>
</file>